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345A" w14:textId="77777777" w:rsidR="00116679" w:rsidRDefault="0041041E">
      <w:pPr>
        <w:spacing w:after="86" w:line="259" w:lineRule="auto"/>
        <w:ind w:left="0" w:firstLine="0"/>
      </w:pPr>
      <w:r>
        <w:rPr>
          <w:b/>
          <w:sz w:val="36"/>
        </w:rPr>
        <w:t xml:space="preserve">The mediator as a conductor: Repertoire </w:t>
      </w:r>
    </w:p>
    <w:p w14:paraId="6FB120FB" w14:textId="77777777" w:rsidR="00116679" w:rsidRDefault="0041041E">
      <w:pPr>
        <w:spacing w:after="1" w:line="259" w:lineRule="auto"/>
        <w:ind w:left="-5"/>
      </w:pPr>
      <w:r>
        <w:rPr>
          <w:b/>
          <w:sz w:val="28"/>
        </w:rPr>
        <w:t xml:space="preserve">Neuro-Linguistic Programming (NLP) </w:t>
      </w:r>
    </w:p>
    <w:p w14:paraId="794B378A" w14:textId="77777777" w:rsidR="00116679" w:rsidRDefault="0041041E">
      <w:pPr>
        <w:spacing w:after="158" w:line="260" w:lineRule="auto"/>
        <w:ind w:left="-5"/>
      </w:pPr>
      <w:r>
        <w:rPr>
          <w:i/>
        </w:rPr>
        <w:t>The second article in the ‘Mediator as a conductor’ series</w:t>
      </w:r>
      <w:r>
        <w:rPr>
          <w:b/>
          <w:sz w:val="28"/>
        </w:rPr>
        <w:t xml:space="preserve"> </w:t>
      </w:r>
    </w:p>
    <w:p w14:paraId="559E9ACC" w14:textId="77777777" w:rsidR="00116679" w:rsidRDefault="0041041E">
      <w:pPr>
        <w:spacing w:after="1" w:line="259" w:lineRule="auto"/>
        <w:ind w:left="0" w:firstLine="0"/>
      </w:pPr>
      <w:r>
        <w:rPr>
          <w:b/>
          <w:sz w:val="28"/>
        </w:rPr>
        <w:t xml:space="preserve"> </w:t>
      </w:r>
    </w:p>
    <w:p w14:paraId="40A57314" w14:textId="77777777" w:rsidR="00116679" w:rsidRDefault="0041041E">
      <w:pPr>
        <w:pStyle w:val="Heading1"/>
        <w:spacing w:after="123"/>
        <w:ind w:left="-5"/>
      </w:pPr>
      <w:r>
        <w:t>David Mitchell</w:t>
      </w:r>
      <w:r>
        <w:rPr>
          <w:b w:val="0"/>
          <w:sz w:val="24"/>
        </w:rPr>
        <w:t xml:space="preserve"> </w:t>
      </w:r>
    </w:p>
    <w:p w14:paraId="263CA07B" w14:textId="77777777" w:rsidR="00116679" w:rsidRDefault="0041041E">
      <w:pPr>
        <w:spacing w:after="19" w:line="259" w:lineRule="auto"/>
        <w:ind w:left="0" w:firstLine="0"/>
      </w:pPr>
      <w:r>
        <w:t xml:space="preserve"> </w:t>
      </w:r>
    </w:p>
    <w:p w14:paraId="7EE55CD5" w14:textId="77777777" w:rsidR="00116679" w:rsidRDefault="0041041E">
      <w:pPr>
        <w:spacing w:after="151"/>
        <w:ind w:left="-5" w:right="65"/>
      </w:pPr>
      <w:r>
        <w:t xml:space="preserve">The second article in the ‘Mediator as a conductor’ series involves our five sensory mechanisms and their effect on thinking, behaviour and communicating. The most evocative musical piece encompassing the senses for me has been the clip from Francis Ford Coppola’s </w:t>
      </w:r>
      <w:r>
        <w:rPr>
          <w:i/>
        </w:rPr>
        <w:t>Apocalypse Now</w:t>
      </w:r>
      <w:r>
        <w:t xml:space="preserve"> wherein the flock of helicopters, full of rockets, machine guns and soldiers wielding automatic rifles ‘dance’ to Wagner’s ‘Ride of the Valkyries’ as they destroy a Vietnamese village and its inhabitants. </w:t>
      </w:r>
    </w:p>
    <w:p w14:paraId="40274287" w14:textId="77777777" w:rsidR="00116679" w:rsidRDefault="0041041E">
      <w:pPr>
        <w:spacing w:after="161" w:line="259" w:lineRule="auto"/>
        <w:ind w:left="0" w:firstLine="0"/>
      </w:pPr>
      <w:r>
        <w:t xml:space="preserve"> </w:t>
      </w:r>
    </w:p>
    <w:p w14:paraId="3D30054B" w14:textId="77777777" w:rsidR="00116679" w:rsidRDefault="0041041E">
      <w:pPr>
        <w:spacing w:after="158" w:line="260" w:lineRule="auto"/>
        <w:ind w:left="-5"/>
      </w:pPr>
      <w:r>
        <w:rPr>
          <w:i/>
        </w:rPr>
        <w:t xml:space="preserve">The average human ‘looks without seeing, listens without hearing, touches without feeling, eats without tasting, moves without physical awareness, inhales without awareness of odour or fragrance, and talks without thinking.’ </w:t>
      </w:r>
    </w:p>
    <w:p w14:paraId="7647D653" w14:textId="77777777" w:rsidR="00116679" w:rsidRDefault="0041041E">
      <w:pPr>
        <w:spacing w:after="179" w:line="259" w:lineRule="auto"/>
        <w:ind w:left="0" w:right="234" w:firstLine="0"/>
        <w:jc w:val="right"/>
      </w:pPr>
      <w:r>
        <w:t>— Leonardo da Vinci</w:t>
      </w:r>
      <w:r>
        <w:rPr>
          <w:vertAlign w:val="superscript"/>
        </w:rPr>
        <w:footnoteReference w:id="1"/>
      </w:r>
      <w:r>
        <w:t xml:space="preserve"> </w:t>
      </w:r>
    </w:p>
    <w:p w14:paraId="3CF62451" w14:textId="77777777" w:rsidR="00116679" w:rsidRDefault="0041041E">
      <w:pPr>
        <w:spacing w:after="23" w:line="259" w:lineRule="auto"/>
        <w:ind w:left="0" w:firstLine="0"/>
      </w:pPr>
      <w:r>
        <w:t xml:space="preserve"> </w:t>
      </w:r>
    </w:p>
    <w:p w14:paraId="49DBFC22" w14:textId="77777777" w:rsidR="00116679" w:rsidRDefault="0041041E">
      <w:pPr>
        <w:spacing w:after="150"/>
        <w:ind w:left="-5" w:right="65"/>
      </w:pPr>
      <w:r>
        <w:t xml:space="preserve">There is some truth and wisdom in da Vinci’s summation of humankind. I once drove fifty kilometres past Stonehenge (one of my bucket list items) because I was thinking of many other things and </w:t>
      </w:r>
      <w:proofErr w:type="gramStart"/>
      <w:r>
        <w:t>didn’t</w:t>
      </w:r>
      <w:proofErr w:type="gramEnd"/>
      <w:r>
        <w:t xml:space="preserve"> see the sign. Neurobiologists estimate we can only deal with between four</w:t>
      </w:r>
      <w:r>
        <w:rPr>
          <w:vertAlign w:val="superscript"/>
        </w:rPr>
        <w:footnoteReference w:id="2"/>
      </w:r>
      <w:r>
        <w:t xml:space="preserve"> and seven</w:t>
      </w:r>
      <w:r>
        <w:rPr>
          <w:vertAlign w:val="superscript"/>
        </w:rPr>
        <w:footnoteReference w:id="3"/>
      </w:r>
      <w:r>
        <w:t xml:space="preserve"> units of information in our working (short term) memory at once. Interestingly, if da Vinci, who wrote in mirror code, meant us to read the quote in reverse, this would then equate with the 4-7 rule controlling the unconscious uptake, </w:t>
      </w:r>
      <w:proofErr w:type="gramStart"/>
      <w:r>
        <w:t>assimilation</w:t>
      </w:r>
      <w:proofErr w:type="gramEnd"/>
      <w:r>
        <w:t xml:space="preserve"> and storage of our surroundings. </w:t>
      </w:r>
    </w:p>
    <w:p w14:paraId="176493D9" w14:textId="77777777" w:rsidR="00116679" w:rsidRDefault="0041041E">
      <w:pPr>
        <w:spacing w:after="241"/>
        <w:ind w:left="-5" w:right="65"/>
      </w:pPr>
      <w:r>
        <w:t>In the early nineteen seventies, Richard Bandler, a linguist, and John Grinder, a mathematician, found da Vinci had set out his version of the ‘da Vinci Code’ in his quote inferring ‘</w:t>
      </w:r>
      <w:r>
        <w:rPr>
          <w:i/>
        </w:rPr>
        <w:t>an internal mental disturbance would change a person’s balance in sensory perception and communication’</w:t>
      </w:r>
      <w:r>
        <w:t xml:space="preserve">. Bandler and Grinder were searching for a </w:t>
      </w:r>
    </w:p>
    <w:p w14:paraId="0888AA1A" w14:textId="77777777" w:rsidR="00116679" w:rsidRDefault="0041041E">
      <w:pPr>
        <w:spacing w:after="241"/>
        <w:ind w:left="-5" w:right="65"/>
      </w:pPr>
      <w:r>
        <w:t xml:space="preserve">common code or set of rules that eminent psychoanalysts in USA used in their work. Their research focused on the therapeutic interventions used by Virginia Satyr, a </w:t>
      </w:r>
    </w:p>
    <w:p w14:paraId="55438528" w14:textId="77777777" w:rsidR="00116679" w:rsidRDefault="0041041E">
      <w:pPr>
        <w:spacing w:after="190"/>
        <w:ind w:left="-5" w:right="65"/>
      </w:pPr>
      <w:r>
        <w:lastRenderedPageBreak/>
        <w:t xml:space="preserve">family therapist, Fritz </w:t>
      </w:r>
      <w:proofErr w:type="spellStart"/>
      <w:r>
        <w:t>Perls</w:t>
      </w:r>
      <w:proofErr w:type="spellEnd"/>
      <w:r>
        <w:t xml:space="preserve">, the founder of Gestalt therapy and Milton Ericson, a hypnotherapist. Bandler and Grinder found there was a code, a similarity in language, communication and interaction used by each of their therapists. Two books followed (the </w:t>
      </w:r>
      <w:r>
        <w:rPr>
          <w:i/>
        </w:rPr>
        <w:t>Structure of Magic</w:t>
      </w:r>
      <w:r>
        <w:t xml:space="preserve"> Vols.1 &amp; 2)</w:t>
      </w:r>
      <w:r>
        <w:rPr>
          <w:vertAlign w:val="superscript"/>
        </w:rPr>
        <w:footnoteReference w:id="4"/>
      </w:r>
      <w:r>
        <w:t xml:space="preserve">  and a new form of psychoanalysis and therapy was born: Neuro-linguistic programming (NLP).  </w:t>
      </w:r>
    </w:p>
    <w:p w14:paraId="1A582D6B" w14:textId="77777777" w:rsidR="00116679" w:rsidRDefault="0041041E">
      <w:pPr>
        <w:spacing w:after="0" w:line="259" w:lineRule="auto"/>
        <w:ind w:left="0" w:firstLine="0"/>
      </w:pPr>
      <w:r>
        <w:rPr>
          <w:sz w:val="28"/>
        </w:rPr>
        <w:t xml:space="preserve"> </w:t>
      </w:r>
    </w:p>
    <w:p w14:paraId="43D32C33" w14:textId="77777777" w:rsidR="00116679" w:rsidRDefault="0041041E">
      <w:pPr>
        <w:pStyle w:val="Heading1"/>
        <w:ind w:left="-5"/>
      </w:pPr>
      <w:r>
        <w:t xml:space="preserve">NLP concepts </w:t>
      </w:r>
    </w:p>
    <w:p w14:paraId="17538190" w14:textId="77777777" w:rsidR="00116679" w:rsidRDefault="0041041E">
      <w:pPr>
        <w:spacing w:after="123" w:line="259" w:lineRule="auto"/>
        <w:ind w:left="0" w:firstLine="0"/>
      </w:pPr>
      <w:r>
        <w:rPr>
          <w:b/>
          <w:sz w:val="28"/>
        </w:rPr>
        <w:t xml:space="preserve"> </w:t>
      </w:r>
    </w:p>
    <w:p w14:paraId="799E2D67" w14:textId="77777777" w:rsidR="00116679" w:rsidRDefault="0041041E">
      <w:pPr>
        <w:spacing w:after="151"/>
        <w:ind w:left="370" w:right="65"/>
      </w:pPr>
      <w:r>
        <w:t xml:space="preserve">1. The WHAT </w:t>
      </w:r>
    </w:p>
    <w:p w14:paraId="4440BC2F" w14:textId="77777777" w:rsidR="00116679" w:rsidRDefault="0041041E">
      <w:pPr>
        <w:spacing w:after="169"/>
        <w:ind w:left="-5" w:right="65"/>
      </w:pPr>
      <w:r>
        <w:t xml:space="preserve">Bandler and Grinder proposed that: </w:t>
      </w:r>
    </w:p>
    <w:p w14:paraId="028022FB" w14:textId="77777777" w:rsidR="00116679" w:rsidRDefault="0041041E">
      <w:pPr>
        <w:numPr>
          <w:ilvl w:val="0"/>
          <w:numId w:val="1"/>
        </w:numPr>
        <w:ind w:right="65" w:hanging="360"/>
      </w:pPr>
      <w:r>
        <w:t>all memory was sensory initiated (see Chan et.al.</w:t>
      </w:r>
      <w:r>
        <w:rPr>
          <w:vertAlign w:val="superscript"/>
        </w:rPr>
        <w:footnoteReference w:id="5"/>
      </w:r>
      <w:r>
        <w:t xml:space="preserve">) </w:t>
      </w:r>
    </w:p>
    <w:p w14:paraId="08CAAABD" w14:textId="77777777" w:rsidR="00116679" w:rsidRDefault="0041041E">
      <w:pPr>
        <w:numPr>
          <w:ilvl w:val="0"/>
          <w:numId w:val="1"/>
        </w:numPr>
        <w:ind w:right="65" w:hanging="360"/>
      </w:pPr>
      <w:r>
        <w:t xml:space="preserve">the primary sensory modes were visual, auditory and </w:t>
      </w:r>
      <w:proofErr w:type="spellStart"/>
      <w:r>
        <w:t>kinesthetic</w:t>
      </w:r>
      <w:proofErr w:type="spellEnd"/>
      <w:r>
        <w:t xml:space="preserve"> (touch) and a small number operated out of olfactory (smell) or gustatory (taste) </w:t>
      </w:r>
      <w:proofErr w:type="gramStart"/>
      <w:r>
        <w:t>modes</w:t>
      </w:r>
      <w:proofErr w:type="gramEnd"/>
      <w:r>
        <w:t xml:space="preserve"> </w:t>
      </w:r>
    </w:p>
    <w:p w14:paraId="6204C6F0" w14:textId="77777777" w:rsidR="00116679" w:rsidRDefault="0041041E">
      <w:pPr>
        <w:numPr>
          <w:ilvl w:val="0"/>
          <w:numId w:val="1"/>
        </w:numPr>
        <w:ind w:right="65" w:hanging="360"/>
      </w:pPr>
      <w:r>
        <w:t xml:space="preserve">people communicate via sensory representative constructs in their </w:t>
      </w:r>
      <w:proofErr w:type="gramStart"/>
      <w:r>
        <w:t>speech</w:t>
      </w:r>
      <w:proofErr w:type="gramEnd"/>
      <w:r>
        <w:t xml:space="preserve"> </w:t>
      </w:r>
    </w:p>
    <w:p w14:paraId="6C50D172" w14:textId="77777777" w:rsidR="00116679" w:rsidRDefault="0041041E">
      <w:pPr>
        <w:numPr>
          <w:ilvl w:val="0"/>
          <w:numId w:val="1"/>
        </w:numPr>
        <w:ind w:right="65" w:hanging="360"/>
      </w:pPr>
      <w:r>
        <w:t xml:space="preserve">the sensory construct/representation may change within a conversation if communication/conversation is </w:t>
      </w:r>
      <w:proofErr w:type="gramStart"/>
      <w:r>
        <w:t>stalled</w:t>
      </w:r>
      <w:proofErr w:type="gramEnd"/>
      <w:r>
        <w:t xml:space="preserve"> </w:t>
      </w:r>
    </w:p>
    <w:p w14:paraId="73800563" w14:textId="77777777" w:rsidR="00116679" w:rsidRDefault="0041041E">
      <w:pPr>
        <w:numPr>
          <w:ilvl w:val="0"/>
          <w:numId w:val="1"/>
        </w:numPr>
        <w:ind w:right="65" w:hanging="360"/>
      </w:pPr>
      <w:r>
        <w:t xml:space="preserve">a person may use different representative sensory communication modes in different social </w:t>
      </w:r>
      <w:proofErr w:type="gramStart"/>
      <w:r>
        <w:t>settings</w:t>
      </w:r>
      <w:proofErr w:type="gramEnd"/>
      <w:r>
        <w:t xml:space="preserve"> </w:t>
      </w:r>
    </w:p>
    <w:p w14:paraId="115B944A" w14:textId="77777777" w:rsidR="00116679" w:rsidRDefault="0041041E">
      <w:pPr>
        <w:numPr>
          <w:ilvl w:val="0"/>
          <w:numId w:val="1"/>
        </w:numPr>
        <w:ind w:right="65" w:hanging="360"/>
      </w:pPr>
      <w:r>
        <w:t xml:space="preserve">most people have a dominant sensory representative speech/linguistic mode especially under stress or </w:t>
      </w:r>
      <w:proofErr w:type="gramStart"/>
      <w:r>
        <w:t>duress</w:t>
      </w:r>
      <w:proofErr w:type="gramEnd"/>
      <w:r>
        <w:t xml:space="preserve"> </w:t>
      </w:r>
    </w:p>
    <w:p w14:paraId="01548EF6" w14:textId="77777777" w:rsidR="00116679" w:rsidRDefault="0041041E">
      <w:pPr>
        <w:numPr>
          <w:ilvl w:val="0"/>
          <w:numId w:val="1"/>
        </w:numPr>
        <w:ind w:right="65" w:hanging="360"/>
      </w:pPr>
      <w:r>
        <w:t xml:space="preserve">a psychological distress/dysfunction was driven by a memory recall of an earlier stressful </w:t>
      </w:r>
      <w:proofErr w:type="gramStart"/>
      <w:r>
        <w:t>event</w:t>
      </w:r>
      <w:proofErr w:type="gramEnd"/>
      <w:r>
        <w:t xml:space="preserve"> </w:t>
      </w:r>
    </w:p>
    <w:p w14:paraId="23FD3010" w14:textId="77777777" w:rsidR="00116679" w:rsidRDefault="0041041E">
      <w:pPr>
        <w:numPr>
          <w:ilvl w:val="0"/>
          <w:numId w:val="1"/>
        </w:numPr>
        <w:ind w:right="65" w:hanging="360"/>
      </w:pPr>
      <w:r>
        <w:t xml:space="preserve">the memory recall was usually an unconscious altered perception of reality, often worsening with each flare-up (see Yassa and </w:t>
      </w:r>
      <w:proofErr w:type="spellStart"/>
      <w:r>
        <w:t>Reagh</w:t>
      </w:r>
      <w:proofErr w:type="spellEnd"/>
      <w:r>
        <w:t xml:space="preserve"> )</w:t>
      </w:r>
      <w:r>
        <w:rPr>
          <w:vertAlign w:val="superscript"/>
        </w:rPr>
        <w:footnoteReference w:id="6"/>
      </w:r>
      <w:r>
        <w:t xml:space="preserve">  </w:t>
      </w:r>
    </w:p>
    <w:p w14:paraId="43298E3C" w14:textId="77777777" w:rsidR="00116679" w:rsidRDefault="0041041E">
      <w:pPr>
        <w:numPr>
          <w:ilvl w:val="0"/>
          <w:numId w:val="1"/>
        </w:numPr>
        <w:spacing w:after="108"/>
        <w:ind w:right="65" w:hanging="360"/>
      </w:pPr>
      <w:r>
        <w:t xml:space="preserve">people were generally unaware of their sensory linguistic communication. </w:t>
      </w:r>
    </w:p>
    <w:p w14:paraId="2C427086" w14:textId="77777777" w:rsidR="00116679" w:rsidRDefault="0041041E">
      <w:pPr>
        <w:spacing w:after="151"/>
        <w:ind w:left="-5" w:right="65"/>
      </w:pPr>
      <w:r>
        <w:t xml:space="preserve">Bandler and Grinder postulated that the brain operated from a universal modelling process using two brain maps or memory modules: </w:t>
      </w:r>
    </w:p>
    <w:p w14:paraId="0BE382E0" w14:textId="77777777" w:rsidR="00116679" w:rsidRDefault="0041041E">
      <w:pPr>
        <w:numPr>
          <w:ilvl w:val="0"/>
          <w:numId w:val="2"/>
        </w:numPr>
        <w:spacing w:after="33"/>
        <w:ind w:right="65" w:hanging="360"/>
      </w:pPr>
      <w:r>
        <w:t xml:space="preserve">a sensory-based map or memory module incorporating pictures, sounds, feelings, tastes and smells they called ‘surface structure’. This is now part of Yassa and </w:t>
      </w:r>
      <w:proofErr w:type="spellStart"/>
      <w:r>
        <w:t>Reagh’s</w:t>
      </w:r>
      <w:proofErr w:type="spellEnd"/>
      <w:r>
        <w:t xml:space="preserve"> </w:t>
      </w:r>
      <w:r>
        <w:rPr>
          <w:vertAlign w:val="superscript"/>
        </w:rPr>
        <w:t xml:space="preserve">6 </w:t>
      </w:r>
      <w:r>
        <w:t xml:space="preserve">episodic context stored initially in the hippocampus and later redirected to the neocortex. It is this area that would be relevant and useful for mediators. </w:t>
      </w:r>
    </w:p>
    <w:p w14:paraId="322075B6" w14:textId="4605B1D1" w:rsidR="00116679" w:rsidRDefault="0041041E">
      <w:pPr>
        <w:spacing w:after="0" w:line="259" w:lineRule="auto"/>
        <w:ind w:left="0" w:firstLine="0"/>
      </w:pPr>
      <w:r>
        <w:rPr>
          <w:rFonts w:ascii="Calibri" w:eastAsia="Calibri" w:hAnsi="Calibri" w:cs="Calibri"/>
          <w:sz w:val="22"/>
        </w:rPr>
        <w:t xml:space="preserve"> </w:t>
      </w:r>
    </w:p>
    <w:p w14:paraId="225092A6" w14:textId="77777777" w:rsidR="00116679" w:rsidRDefault="0041041E">
      <w:pPr>
        <w:numPr>
          <w:ilvl w:val="0"/>
          <w:numId w:val="2"/>
        </w:numPr>
        <w:spacing w:after="152"/>
        <w:ind w:right="65" w:hanging="360"/>
      </w:pPr>
      <w:r>
        <w:lastRenderedPageBreak/>
        <w:t xml:space="preserve">A linguistic representation of the sensory map which they called ‘deep structure’. Such a map becomes distorted and unreal from frequent </w:t>
      </w:r>
      <w:proofErr w:type="gramStart"/>
      <w:r>
        <w:t>use</w:t>
      </w:r>
      <w:proofErr w:type="gramEnd"/>
      <w:r>
        <w:t xml:space="preserve"> but the semantic verbal descriptors (sensory language) remain. (See Fig.2) </w:t>
      </w:r>
    </w:p>
    <w:p w14:paraId="0816A161" w14:textId="77777777" w:rsidR="00116679" w:rsidRDefault="0041041E">
      <w:pPr>
        <w:spacing w:line="259" w:lineRule="auto"/>
        <w:ind w:left="0" w:firstLine="0"/>
      </w:pPr>
      <w:r>
        <w:t xml:space="preserve"> </w:t>
      </w:r>
    </w:p>
    <w:p w14:paraId="6739CD1E" w14:textId="77777777" w:rsidR="00116679" w:rsidRDefault="0041041E">
      <w:pPr>
        <w:spacing w:after="172"/>
        <w:ind w:left="-5" w:right="65"/>
      </w:pPr>
      <w:r>
        <w:t xml:space="preserve">Bandler and Grinder had observed that when stressed, people’s narratives would contain one or more of the following masking, disruptive elements:  </w:t>
      </w:r>
    </w:p>
    <w:p w14:paraId="2F7EF1A9" w14:textId="77777777" w:rsidR="00116679" w:rsidRDefault="0041041E">
      <w:pPr>
        <w:numPr>
          <w:ilvl w:val="0"/>
          <w:numId w:val="3"/>
        </w:numPr>
        <w:ind w:right="65" w:hanging="360"/>
      </w:pPr>
      <w:proofErr w:type="gramStart"/>
      <w:r>
        <w:t>distortion;</w:t>
      </w:r>
      <w:proofErr w:type="gramEnd"/>
      <w:r>
        <w:t xml:space="preserve"> </w:t>
      </w:r>
    </w:p>
    <w:p w14:paraId="34099A3D" w14:textId="77777777" w:rsidR="00116679" w:rsidRDefault="0041041E">
      <w:pPr>
        <w:numPr>
          <w:ilvl w:val="0"/>
          <w:numId w:val="3"/>
        </w:numPr>
        <w:ind w:right="65" w:hanging="360"/>
      </w:pPr>
      <w:proofErr w:type="gramStart"/>
      <w:r>
        <w:t>generalisation;</w:t>
      </w:r>
      <w:proofErr w:type="gramEnd"/>
      <w:r>
        <w:t xml:space="preserve">  </w:t>
      </w:r>
    </w:p>
    <w:p w14:paraId="6F6EF8B0" w14:textId="77777777" w:rsidR="00116679" w:rsidRDefault="0041041E">
      <w:pPr>
        <w:numPr>
          <w:ilvl w:val="0"/>
          <w:numId w:val="3"/>
        </w:numPr>
        <w:spacing w:after="107"/>
        <w:ind w:right="65" w:hanging="360"/>
      </w:pPr>
      <w:r>
        <w:t xml:space="preserve">deletion. </w:t>
      </w:r>
    </w:p>
    <w:p w14:paraId="0F4772AC" w14:textId="77777777" w:rsidR="00116679" w:rsidRDefault="0041041E">
      <w:pPr>
        <w:spacing w:after="152"/>
        <w:ind w:left="-5" w:right="65"/>
      </w:pPr>
      <w:r>
        <w:t xml:space="preserve">Rather than using a narrative theory approach (inside-out) of teasing out a deeply entrenched and often distorted </w:t>
      </w:r>
      <w:proofErr w:type="gramStart"/>
      <w:r>
        <w:t>world-view</w:t>
      </w:r>
      <w:proofErr w:type="gramEnd"/>
      <w:r>
        <w:t xml:space="preserve"> (narrative), Bandler and Grinder decided to focus on the narrative in the now or an outside-in approach. The linguistic constructs, even though initiated years ago, could be identified in the present and changed without tampering with the life story. By changing the internal and external story-telling and the accompanying skewed linguistic pattern, a new narrative replaced the old. Some forty years after the NLP postulates were published, Yassa and </w:t>
      </w:r>
      <w:proofErr w:type="spellStart"/>
      <w:r>
        <w:t>Reagh</w:t>
      </w:r>
      <w:proofErr w:type="spellEnd"/>
      <w:r>
        <w:rPr>
          <w:vertAlign w:val="superscript"/>
        </w:rPr>
        <w:footnoteReference w:id="7"/>
      </w:r>
      <w:r>
        <w:t xml:space="preserve"> have validated such a premise showing how a new memory module could be reinforced and easily and instantly made available as a model for a new persona and a new behaviour pattern. </w:t>
      </w:r>
    </w:p>
    <w:p w14:paraId="4306F857" w14:textId="77777777" w:rsidR="00116679" w:rsidRDefault="0041041E">
      <w:pPr>
        <w:spacing w:after="160" w:line="259" w:lineRule="auto"/>
        <w:ind w:left="360" w:firstLine="0"/>
      </w:pPr>
      <w:r>
        <w:t xml:space="preserve"> </w:t>
      </w:r>
    </w:p>
    <w:p w14:paraId="7D7202DC" w14:textId="77777777" w:rsidR="00116679" w:rsidRDefault="0041041E">
      <w:pPr>
        <w:spacing w:after="151"/>
        <w:ind w:left="370" w:right="65"/>
      </w:pPr>
      <w:r>
        <w:t xml:space="preserve">2.The HOW </w:t>
      </w:r>
    </w:p>
    <w:p w14:paraId="19E4A949" w14:textId="77777777" w:rsidR="00116679" w:rsidRDefault="0041041E">
      <w:pPr>
        <w:spacing w:after="152"/>
        <w:ind w:left="-5" w:right="65"/>
      </w:pPr>
      <w:r>
        <w:t xml:space="preserve">How does a mediator conduct an NLP session within a mediation?  </w:t>
      </w:r>
    </w:p>
    <w:p w14:paraId="743F16A1" w14:textId="77777777" w:rsidR="00116679" w:rsidRDefault="0041041E">
      <w:pPr>
        <w:numPr>
          <w:ilvl w:val="0"/>
          <w:numId w:val="4"/>
        </w:numPr>
        <w:ind w:right="65" w:hanging="720"/>
      </w:pPr>
      <w:r>
        <w:t xml:space="preserve">By identifying, in the present, the dominant sensory language used by each mediatee.  </w:t>
      </w:r>
    </w:p>
    <w:p w14:paraId="335418C6" w14:textId="77777777" w:rsidR="00116679" w:rsidRDefault="0041041E">
      <w:pPr>
        <w:ind w:left="1090" w:right="65"/>
      </w:pPr>
      <w:r>
        <w:t xml:space="preserve">a. Were either or both fixed in the visual mode? </w:t>
      </w:r>
    </w:p>
    <w:p w14:paraId="3C472831" w14:textId="77777777" w:rsidR="00116679" w:rsidRDefault="0041041E">
      <w:pPr>
        <w:ind w:left="1090" w:right="65"/>
      </w:pPr>
      <w:r>
        <w:t xml:space="preserve">      …If so they would use visual words, phrases, word images and           </w:t>
      </w:r>
      <w:proofErr w:type="gramStart"/>
      <w:r>
        <w:t>metaphors</w:t>
      </w:r>
      <w:proofErr w:type="gramEnd"/>
      <w:r>
        <w:t xml:space="preserve"> </w:t>
      </w:r>
    </w:p>
    <w:p w14:paraId="10DDA57D" w14:textId="77777777" w:rsidR="00116679" w:rsidRDefault="0041041E">
      <w:pPr>
        <w:ind w:left="1090" w:right="467"/>
      </w:pPr>
      <w:r>
        <w:t xml:space="preserve">e.g.   ‘I saw red when I received the plaintiff/defendant’s court action’      or ‘Why can’t he/she see what I’m getting at …’ </w:t>
      </w:r>
    </w:p>
    <w:p w14:paraId="22225D0A" w14:textId="77777777" w:rsidR="00116679" w:rsidRDefault="0041041E">
      <w:pPr>
        <w:ind w:left="1090" w:right="426"/>
      </w:pPr>
      <w:r>
        <w:t xml:space="preserve"> </w:t>
      </w:r>
      <w:r>
        <w:tab/>
        <w:t xml:space="preserve">or ‘My car/motorbike looked a mess after he/she crashed into me’  </w:t>
      </w:r>
      <w:r>
        <w:tab/>
        <w:t xml:space="preserve">or ‘I can’t see how this matter can be resolved ….’ </w:t>
      </w:r>
    </w:p>
    <w:p w14:paraId="1B581E0E" w14:textId="77777777" w:rsidR="00116679" w:rsidRDefault="0041041E">
      <w:pPr>
        <w:spacing w:after="0" w:line="259" w:lineRule="auto"/>
        <w:ind w:left="1080" w:firstLine="0"/>
      </w:pPr>
      <w:r>
        <w:t xml:space="preserve"> </w:t>
      </w:r>
    </w:p>
    <w:p w14:paraId="0A878B55" w14:textId="77777777" w:rsidR="00116679" w:rsidRDefault="0041041E">
      <w:pPr>
        <w:ind w:left="1090" w:right="65"/>
      </w:pPr>
      <w:r>
        <w:t xml:space="preserve">b. Were either/both acting out from an auditory mode? </w:t>
      </w:r>
    </w:p>
    <w:p w14:paraId="5EF14F8B" w14:textId="7B503191" w:rsidR="00116679" w:rsidRDefault="0041041E" w:rsidP="005A01B3">
      <w:pPr>
        <w:spacing w:after="380"/>
        <w:ind w:left="1450" w:right="65"/>
      </w:pPr>
      <w:r>
        <w:t xml:space="preserve">…. If so they would use auditory words, phrases, concepts and </w:t>
      </w:r>
      <w:r w:rsidR="005A01B3">
        <w:br/>
      </w:r>
      <w:r>
        <w:t xml:space="preserve"> metaphors. </w:t>
      </w:r>
    </w:p>
    <w:p w14:paraId="6A856CF2" w14:textId="77777777" w:rsidR="00116679" w:rsidRDefault="0041041E">
      <w:pPr>
        <w:spacing w:after="28"/>
        <w:ind w:left="730" w:right="65"/>
      </w:pPr>
      <w:r>
        <w:lastRenderedPageBreak/>
        <w:t xml:space="preserve">     e.g.   ‘That doesn’t sound right…’ </w:t>
      </w:r>
    </w:p>
    <w:p w14:paraId="1BB17DDF" w14:textId="77777777" w:rsidR="00116679" w:rsidRDefault="0041041E">
      <w:pPr>
        <w:tabs>
          <w:tab w:val="center" w:pos="720"/>
          <w:tab w:val="center" w:pos="2914"/>
        </w:tabs>
        <w:ind w:left="0" w:firstLine="0"/>
      </w:pPr>
      <w:r>
        <w:rPr>
          <w:rFonts w:ascii="Calibri" w:eastAsia="Calibri" w:hAnsi="Calibri" w:cs="Calibri"/>
          <w:sz w:val="22"/>
        </w:rPr>
        <w:tab/>
      </w:r>
      <w:r>
        <w:t xml:space="preserve"> </w:t>
      </w:r>
      <w:r>
        <w:tab/>
        <w:t xml:space="preserve">or ‘Why won’t you listen…?’ </w:t>
      </w:r>
    </w:p>
    <w:p w14:paraId="03369474" w14:textId="77777777" w:rsidR="00116679" w:rsidRDefault="0041041E">
      <w:pPr>
        <w:spacing w:after="151"/>
        <w:ind w:left="730" w:right="4202"/>
      </w:pPr>
      <w:r>
        <w:t xml:space="preserve">           or ‘You are tone deaf’            or ‘You are always yelling at </w:t>
      </w:r>
      <w:proofErr w:type="gramStart"/>
      <w:r>
        <w:t>me’</w:t>
      </w:r>
      <w:proofErr w:type="gramEnd"/>
      <w:r>
        <w:t xml:space="preserve"> </w:t>
      </w:r>
    </w:p>
    <w:p w14:paraId="5FE9E1B5" w14:textId="77777777" w:rsidR="00116679" w:rsidRDefault="0041041E">
      <w:pPr>
        <w:spacing w:after="153"/>
        <w:ind w:left="730" w:right="65"/>
      </w:pPr>
      <w:r>
        <w:t xml:space="preserve">      c.  Were either/both acting out from a </w:t>
      </w:r>
      <w:proofErr w:type="spellStart"/>
      <w:r>
        <w:t>kinesthetic</w:t>
      </w:r>
      <w:proofErr w:type="spellEnd"/>
      <w:r>
        <w:t xml:space="preserve"> mode? </w:t>
      </w:r>
    </w:p>
    <w:p w14:paraId="2A84C61B" w14:textId="77777777" w:rsidR="00116679" w:rsidRDefault="0041041E">
      <w:pPr>
        <w:spacing w:after="149"/>
        <w:ind w:left="730" w:right="3507"/>
      </w:pPr>
      <w:r>
        <w:t xml:space="preserve">      e.g.    ‘Living with you is exhausting’             or ‘I don’t trust him. He is creepy’             or ‘Since this event, I’m all out of sync’             or ‘He goes hot and cold whenever….’ </w:t>
      </w:r>
    </w:p>
    <w:p w14:paraId="42B0D320" w14:textId="77777777" w:rsidR="00116679" w:rsidRDefault="0041041E">
      <w:pPr>
        <w:spacing w:after="112"/>
        <w:ind w:left="-5" w:right="65"/>
      </w:pPr>
      <w:r>
        <w:t xml:space="preserve">Table 1 lists ten of the most commonly used visual, </w:t>
      </w:r>
      <w:proofErr w:type="gramStart"/>
      <w:r>
        <w:t>auditory</w:t>
      </w:r>
      <w:proofErr w:type="gramEnd"/>
      <w:r>
        <w:t xml:space="preserve"> and </w:t>
      </w:r>
      <w:proofErr w:type="spellStart"/>
      <w:r>
        <w:t>kinesthetic</w:t>
      </w:r>
      <w:proofErr w:type="spellEnd"/>
      <w:r>
        <w:t xml:space="preserve"> words. </w:t>
      </w:r>
    </w:p>
    <w:tbl>
      <w:tblPr>
        <w:tblStyle w:val="TableGrid"/>
        <w:tblW w:w="9018" w:type="dxa"/>
        <w:tblInd w:w="5" w:type="dxa"/>
        <w:tblCellMar>
          <w:top w:w="12" w:type="dxa"/>
          <w:left w:w="107" w:type="dxa"/>
          <w:right w:w="115" w:type="dxa"/>
        </w:tblCellMar>
        <w:tblLook w:val="04A0" w:firstRow="1" w:lastRow="0" w:firstColumn="1" w:lastColumn="0" w:noHBand="0" w:noVBand="1"/>
      </w:tblPr>
      <w:tblGrid>
        <w:gridCol w:w="3006"/>
        <w:gridCol w:w="3006"/>
        <w:gridCol w:w="3006"/>
      </w:tblGrid>
      <w:tr w:rsidR="00116679" w14:paraId="6132FFA3" w14:textId="77777777">
        <w:trPr>
          <w:trHeight w:val="286"/>
        </w:trPr>
        <w:tc>
          <w:tcPr>
            <w:tcW w:w="3005" w:type="dxa"/>
            <w:tcBorders>
              <w:top w:val="single" w:sz="4" w:space="0" w:color="000000"/>
              <w:left w:val="single" w:sz="4" w:space="0" w:color="000000"/>
              <w:bottom w:val="single" w:sz="4" w:space="0" w:color="000000"/>
              <w:right w:val="single" w:sz="4" w:space="0" w:color="000000"/>
            </w:tcBorders>
          </w:tcPr>
          <w:p w14:paraId="14A039E3" w14:textId="77777777" w:rsidR="00116679" w:rsidRDefault="0041041E">
            <w:pPr>
              <w:spacing w:after="0" w:line="259" w:lineRule="auto"/>
              <w:ind w:left="2" w:firstLine="0"/>
            </w:pPr>
            <w:r>
              <w:rPr>
                <w:b/>
              </w:rPr>
              <w:t xml:space="preserve">Visual </w:t>
            </w:r>
          </w:p>
        </w:tc>
        <w:tc>
          <w:tcPr>
            <w:tcW w:w="3006" w:type="dxa"/>
            <w:tcBorders>
              <w:top w:val="single" w:sz="4" w:space="0" w:color="000000"/>
              <w:left w:val="single" w:sz="4" w:space="0" w:color="000000"/>
              <w:bottom w:val="single" w:sz="4" w:space="0" w:color="000000"/>
              <w:right w:val="single" w:sz="4" w:space="0" w:color="000000"/>
            </w:tcBorders>
          </w:tcPr>
          <w:p w14:paraId="61D962F9" w14:textId="77777777" w:rsidR="00116679" w:rsidRDefault="0041041E">
            <w:pPr>
              <w:spacing w:after="0" w:line="259" w:lineRule="auto"/>
              <w:ind w:left="1" w:firstLine="0"/>
            </w:pPr>
            <w:r>
              <w:rPr>
                <w:b/>
              </w:rPr>
              <w:t xml:space="preserve">Auditory </w:t>
            </w:r>
          </w:p>
        </w:tc>
        <w:tc>
          <w:tcPr>
            <w:tcW w:w="3006" w:type="dxa"/>
            <w:tcBorders>
              <w:top w:val="single" w:sz="4" w:space="0" w:color="000000"/>
              <w:left w:val="single" w:sz="4" w:space="0" w:color="000000"/>
              <w:bottom w:val="single" w:sz="4" w:space="0" w:color="000000"/>
              <w:right w:val="single" w:sz="4" w:space="0" w:color="000000"/>
            </w:tcBorders>
          </w:tcPr>
          <w:p w14:paraId="6BB6DC6C" w14:textId="77777777" w:rsidR="00116679" w:rsidRDefault="0041041E">
            <w:pPr>
              <w:spacing w:after="0" w:line="259" w:lineRule="auto"/>
              <w:ind w:left="0" w:firstLine="0"/>
            </w:pPr>
            <w:proofErr w:type="spellStart"/>
            <w:r>
              <w:rPr>
                <w:b/>
              </w:rPr>
              <w:t>Kinesthetic</w:t>
            </w:r>
            <w:proofErr w:type="spellEnd"/>
            <w:r>
              <w:rPr>
                <w:b/>
              </w:rPr>
              <w:t xml:space="preserve"> (Sensing) </w:t>
            </w:r>
          </w:p>
        </w:tc>
      </w:tr>
      <w:tr w:rsidR="00116679" w14:paraId="160566FB"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7C85F956" w14:textId="77777777" w:rsidR="00116679" w:rsidRDefault="0041041E">
            <w:pPr>
              <w:spacing w:after="0" w:line="259" w:lineRule="auto"/>
              <w:ind w:left="2" w:firstLine="0"/>
            </w:pPr>
            <w:r>
              <w:rPr>
                <w:sz w:val="22"/>
              </w:rPr>
              <w:t xml:space="preserve">look </w:t>
            </w:r>
          </w:p>
        </w:tc>
        <w:tc>
          <w:tcPr>
            <w:tcW w:w="3006" w:type="dxa"/>
            <w:tcBorders>
              <w:top w:val="single" w:sz="4" w:space="0" w:color="000000"/>
              <w:left w:val="single" w:sz="4" w:space="0" w:color="000000"/>
              <w:bottom w:val="single" w:sz="4" w:space="0" w:color="000000"/>
              <w:right w:val="single" w:sz="4" w:space="0" w:color="000000"/>
            </w:tcBorders>
          </w:tcPr>
          <w:p w14:paraId="3ABB5260" w14:textId="77777777" w:rsidR="00116679" w:rsidRDefault="0041041E">
            <w:pPr>
              <w:spacing w:after="0" w:line="259" w:lineRule="auto"/>
              <w:ind w:left="1" w:firstLine="0"/>
            </w:pPr>
            <w:r>
              <w:rPr>
                <w:sz w:val="22"/>
              </w:rPr>
              <w:t xml:space="preserve">sounds good/bad </w:t>
            </w:r>
          </w:p>
        </w:tc>
        <w:tc>
          <w:tcPr>
            <w:tcW w:w="3006" w:type="dxa"/>
            <w:tcBorders>
              <w:top w:val="single" w:sz="4" w:space="0" w:color="000000"/>
              <w:left w:val="single" w:sz="4" w:space="0" w:color="000000"/>
              <w:bottom w:val="single" w:sz="4" w:space="0" w:color="000000"/>
              <w:right w:val="single" w:sz="4" w:space="0" w:color="000000"/>
            </w:tcBorders>
          </w:tcPr>
          <w:p w14:paraId="3F5409B6" w14:textId="77777777" w:rsidR="00116679" w:rsidRDefault="0041041E">
            <w:pPr>
              <w:spacing w:after="0" w:line="259" w:lineRule="auto"/>
              <w:ind w:left="0" w:firstLine="0"/>
            </w:pPr>
            <w:r>
              <w:rPr>
                <w:sz w:val="22"/>
              </w:rPr>
              <w:t xml:space="preserve">exhausted  </w:t>
            </w:r>
          </w:p>
        </w:tc>
      </w:tr>
      <w:tr w:rsidR="00116679" w14:paraId="0A7104AF"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684C792F" w14:textId="77777777" w:rsidR="00116679" w:rsidRDefault="0041041E">
            <w:pPr>
              <w:spacing w:after="0" w:line="259" w:lineRule="auto"/>
              <w:ind w:left="2" w:firstLine="0"/>
            </w:pPr>
            <w:r>
              <w:rPr>
                <w:sz w:val="22"/>
              </w:rPr>
              <w:t>see/</w:t>
            </w:r>
            <w:proofErr w:type="gramStart"/>
            <w:r>
              <w:rPr>
                <w:sz w:val="22"/>
              </w:rPr>
              <w:t>can’t</w:t>
            </w:r>
            <w:proofErr w:type="gramEnd"/>
            <w:r>
              <w:rPr>
                <w:sz w:val="22"/>
              </w:rPr>
              <w:t xml:space="preserve"> see </w:t>
            </w:r>
          </w:p>
        </w:tc>
        <w:tc>
          <w:tcPr>
            <w:tcW w:w="3006" w:type="dxa"/>
            <w:tcBorders>
              <w:top w:val="single" w:sz="4" w:space="0" w:color="000000"/>
              <w:left w:val="single" w:sz="4" w:space="0" w:color="000000"/>
              <w:bottom w:val="single" w:sz="4" w:space="0" w:color="000000"/>
              <w:right w:val="single" w:sz="4" w:space="0" w:color="000000"/>
            </w:tcBorders>
          </w:tcPr>
          <w:p w14:paraId="58D1DD49" w14:textId="77777777" w:rsidR="00116679" w:rsidRDefault="0041041E">
            <w:pPr>
              <w:spacing w:after="0" w:line="259" w:lineRule="auto"/>
              <w:ind w:left="1" w:firstLine="0"/>
            </w:pPr>
            <w:proofErr w:type="gramStart"/>
            <w:r>
              <w:rPr>
                <w:sz w:val="22"/>
              </w:rPr>
              <w:t>won’t</w:t>
            </w:r>
            <w:proofErr w:type="gramEnd"/>
            <w:r>
              <w:rPr>
                <w:sz w:val="22"/>
              </w:rPr>
              <w:t xml:space="preserve"> listen </w:t>
            </w:r>
          </w:p>
        </w:tc>
        <w:tc>
          <w:tcPr>
            <w:tcW w:w="3006" w:type="dxa"/>
            <w:tcBorders>
              <w:top w:val="single" w:sz="4" w:space="0" w:color="000000"/>
              <w:left w:val="single" w:sz="4" w:space="0" w:color="000000"/>
              <w:bottom w:val="single" w:sz="4" w:space="0" w:color="000000"/>
              <w:right w:val="single" w:sz="4" w:space="0" w:color="000000"/>
            </w:tcBorders>
          </w:tcPr>
          <w:p w14:paraId="062311DD" w14:textId="77777777" w:rsidR="00116679" w:rsidRDefault="0041041E">
            <w:pPr>
              <w:spacing w:after="0" w:line="259" w:lineRule="auto"/>
              <w:ind w:left="0" w:firstLine="0"/>
            </w:pPr>
            <w:r>
              <w:rPr>
                <w:sz w:val="22"/>
              </w:rPr>
              <w:t xml:space="preserve">scared/terrified </w:t>
            </w:r>
          </w:p>
        </w:tc>
      </w:tr>
      <w:tr w:rsidR="00116679" w14:paraId="2A97370D"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2CCD664C" w14:textId="77777777" w:rsidR="00116679" w:rsidRDefault="0041041E">
            <w:pPr>
              <w:spacing w:after="0" w:line="259" w:lineRule="auto"/>
              <w:ind w:left="2" w:firstLine="0"/>
            </w:pPr>
            <w:r>
              <w:rPr>
                <w:sz w:val="22"/>
              </w:rPr>
              <w:t xml:space="preserve">colour </w:t>
            </w:r>
          </w:p>
        </w:tc>
        <w:tc>
          <w:tcPr>
            <w:tcW w:w="3006" w:type="dxa"/>
            <w:tcBorders>
              <w:top w:val="single" w:sz="4" w:space="0" w:color="000000"/>
              <w:left w:val="single" w:sz="4" w:space="0" w:color="000000"/>
              <w:bottom w:val="single" w:sz="4" w:space="0" w:color="000000"/>
              <w:right w:val="single" w:sz="4" w:space="0" w:color="000000"/>
            </w:tcBorders>
          </w:tcPr>
          <w:p w14:paraId="5EDA3857" w14:textId="77777777" w:rsidR="00116679" w:rsidRDefault="0041041E">
            <w:pPr>
              <w:spacing w:after="0" w:line="259" w:lineRule="auto"/>
              <w:ind w:left="1" w:firstLine="0"/>
            </w:pPr>
            <w:r>
              <w:rPr>
                <w:sz w:val="22"/>
              </w:rPr>
              <w:t xml:space="preserve">music </w:t>
            </w:r>
          </w:p>
        </w:tc>
        <w:tc>
          <w:tcPr>
            <w:tcW w:w="3006" w:type="dxa"/>
            <w:tcBorders>
              <w:top w:val="single" w:sz="4" w:space="0" w:color="000000"/>
              <w:left w:val="single" w:sz="4" w:space="0" w:color="000000"/>
              <w:bottom w:val="single" w:sz="4" w:space="0" w:color="000000"/>
              <w:right w:val="single" w:sz="4" w:space="0" w:color="000000"/>
            </w:tcBorders>
          </w:tcPr>
          <w:p w14:paraId="74B04D6D" w14:textId="77777777" w:rsidR="00116679" w:rsidRDefault="0041041E">
            <w:pPr>
              <w:spacing w:after="0" w:line="259" w:lineRule="auto"/>
              <w:ind w:left="0" w:firstLine="0"/>
            </w:pPr>
            <w:r>
              <w:rPr>
                <w:sz w:val="22"/>
              </w:rPr>
              <w:t xml:space="preserve">hot/cold </w:t>
            </w:r>
          </w:p>
        </w:tc>
      </w:tr>
      <w:tr w:rsidR="00116679" w14:paraId="101E0F80" w14:textId="77777777">
        <w:trPr>
          <w:trHeight w:val="264"/>
        </w:trPr>
        <w:tc>
          <w:tcPr>
            <w:tcW w:w="3005" w:type="dxa"/>
            <w:tcBorders>
              <w:top w:val="single" w:sz="4" w:space="0" w:color="000000"/>
              <w:left w:val="single" w:sz="4" w:space="0" w:color="000000"/>
              <w:bottom w:val="single" w:sz="4" w:space="0" w:color="000000"/>
              <w:right w:val="single" w:sz="4" w:space="0" w:color="000000"/>
            </w:tcBorders>
          </w:tcPr>
          <w:p w14:paraId="0627A94B" w14:textId="77777777" w:rsidR="00116679" w:rsidRDefault="0041041E">
            <w:pPr>
              <w:spacing w:after="0" w:line="259" w:lineRule="auto"/>
              <w:ind w:left="2" w:firstLine="0"/>
            </w:pPr>
            <w:r>
              <w:rPr>
                <w:sz w:val="22"/>
              </w:rPr>
              <w:t xml:space="preserve">view </w:t>
            </w:r>
          </w:p>
        </w:tc>
        <w:tc>
          <w:tcPr>
            <w:tcW w:w="3006" w:type="dxa"/>
            <w:tcBorders>
              <w:top w:val="single" w:sz="4" w:space="0" w:color="000000"/>
              <w:left w:val="single" w:sz="4" w:space="0" w:color="000000"/>
              <w:bottom w:val="single" w:sz="4" w:space="0" w:color="000000"/>
              <w:right w:val="single" w:sz="4" w:space="0" w:color="000000"/>
            </w:tcBorders>
          </w:tcPr>
          <w:p w14:paraId="3A96653C" w14:textId="77777777" w:rsidR="00116679" w:rsidRDefault="0041041E">
            <w:pPr>
              <w:spacing w:after="0" w:line="259" w:lineRule="auto"/>
              <w:ind w:left="1" w:firstLine="0"/>
            </w:pPr>
            <w:r>
              <w:rPr>
                <w:sz w:val="22"/>
              </w:rPr>
              <w:t xml:space="preserve">sounds </w:t>
            </w:r>
          </w:p>
        </w:tc>
        <w:tc>
          <w:tcPr>
            <w:tcW w:w="3006" w:type="dxa"/>
            <w:tcBorders>
              <w:top w:val="single" w:sz="4" w:space="0" w:color="000000"/>
              <w:left w:val="single" w:sz="4" w:space="0" w:color="000000"/>
              <w:bottom w:val="single" w:sz="4" w:space="0" w:color="000000"/>
              <w:right w:val="single" w:sz="4" w:space="0" w:color="000000"/>
            </w:tcBorders>
          </w:tcPr>
          <w:p w14:paraId="36B6711C" w14:textId="77777777" w:rsidR="00116679" w:rsidRDefault="0041041E">
            <w:pPr>
              <w:spacing w:after="0" w:line="259" w:lineRule="auto"/>
              <w:ind w:left="0" w:firstLine="0"/>
            </w:pPr>
            <w:r>
              <w:rPr>
                <w:sz w:val="22"/>
              </w:rPr>
              <w:t xml:space="preserve">intimidated </w:t>
            </w:r>
          </w:p>
        </w:tc>
      </w:tr>
      <w:tr w:rsidR="00116679" w14:paraId="0511D708"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6C454A2F" w14:textId="77777777" w:rsidR="00116679" w:rsidRDefault="0041041E">
            <w:pPr>
              <w:spacing w:after="0" w:line="259" w:lineRule="auto"/>
              <w:ind w:left="2" w:firstLine="0"/>
            </w:pPr>
            <w:r>
              <w:rPr>
                <w:sz w:val="22"/>
              </w:rPr>
              <w:t xml:space="preserve">read </w:t>
            </w:r>
          </w:p>
        </w:tc>
        <w:tc>
          <w:tcPr>
            <w:tcW w:w="3006" w:type="dxa"/>
            <w:tcBorders>
              <w:top w:val="single" w:sz="4" w:space="0" w:color="000000"/>
              <w:left w:val="single" w:sz="4" w:space="0" w:color="000000"/>
              <w:bottom w:val="single" w:sz="4" w:space="0" w:color="000000"/>
              <w:right w:val="single" w:sz="4" w:space="0" w:color="000000"/>
            </w:tcBorders>
          </w:tcPr>
          <w:p w14:paraId="393BDF1E" w14:textId="77777777" w:rsidR="00116679" w:rsidRDefault="0041041E">
            <w:pPr>
              <w:spacing w:after="0" w:line="259" w:lineRule="auto"/>
              <w:ind w:left="1" w:firstLine="0"/>
            </w:pPr>
            <w:r>
              <w:rPr>
                <w:sz w:val="22"/>
              </w:rPr>
              <w:t xml:space="preserve">noise </w:t>
            </w:r>
          </w:p>
        </w:tc>
        <w:tc>
          <w:tcPr>
            <w:tcW w:w="3006" w:type="dxa"/>
            <w:tcBorders>
              <w:top w:val="single" w:sz="4" w:space="0" w:color="000000"/>
              <w:left w:val="single" w:sz="4" w:space="0" w:color="000000"/>
              <w:bottom w:val="single" w:sz="4" w:space="0" w:color="000000"/>
              <w:right w:val="single" w:sz="4" w:space="0" w:color="000000"/>
            </w:tcBorders>
          </w:tcPr>
          <w:p w14:paraId="48EB470F" w14:textId="77777777" w:rsidR="00116679" w:rsidRDefault="0041041E">
            <w:pPr>
              <w:spacing w:after="0" w:line="259" w:lineRule="auto"/>
              <w:ind w:left="0" w:firstLine="0"/>
            </w:pPr>
            <w:r>
              <w:rPr>
                <w:sz w:val="22"/>
              </w:rPr>
              <w:t xml:space="preserve">pressure </w:t>
            </w:r>
          </w:p>
        </w:tc>
      </w:tr>
      <w:tr w:rsidR="00116679" w14:paraId="7FD48CCC"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1872F373" w14:textId="77777777" w:rsidR="00116679" w:rsidRDefault="0041041E">
            <w:pPr>
              <w:spacing w:after="0" w:line="259" w:lineRule="auto"/>
              <w:ind w:left="2" w:firstLine="0"/>
            </w:pPr>
            <w:r>
              <w:rPr>
                <w:sz w:val="22"/>
              </w:rPr>
              <w:t xml:space="preserve">picture </w:t>
            </w:r>
          </w:p>
        </w:tc>
        <w:tc>
          <w:tcPr>
            <w:tcW w:w="3006" w:type="dxa"/>
            <w:tcBorders>
              <w:top w:val="single" w:sz="4" w:space="0" w:color="000000"/>
              <w:left w:val="single" w:sz="4" w:space="0" w:color="000000"/>
              <w:bottom w:val="single" w:sz="4" w:space="0" w:color="000000"/>
              <w:right w:val="single" w:sz="4" w:space="0" w:color="000000"/>
            </w:tcBorders>
          </w:tcPr>
          <w:p w14:paraId="0CF23655" w14:textId="77777777" w:rsidR="00116679" w:rsidRDefault="0041041E">
            <w:pPr>
              <w:spacing w:after="0" w:line="259" w:lineRule="auto"/>
              <w:ind w:left="1" w:firstLine="0"/>
            </w:pPr>
            <w:r>
              <w:rPr>
                <w:sz w:val="22"/>
              </w:rPr>
              <w:t xml:space="preserve">volume </w:t>
            </w:r>
          </w:p>
        </w:tc>
        <w:tc>
          <w:tcPr>
            <w:tcW w:w="3006" w:type="dxa"/>
            <w:tcBorders>
              <w:top w:val="single" w:sz="4" w:space="0" w:color="000000"/>
              <w:left w:val="single" w:sz="4" w:space="0" w:color="000000"/>
              <w:bottom w:val="single" w:sz="4" w:space="0" w:color="000000"/>
              <w:right w:val="single" w:sz="4" w:space="0" w:color="000000"/>
            </w:tcBorders>
          </w:tcPr>
          <w:p w14:paraId="431B0D28" w14:textId="77777777" w:rsidR="00116679" w:rsidRDefault="0041041E">
            <w:pPr>
              <w:spacing w:after="0" w:line="259" w:lineRule="auto"/>
              <w:ind w:left="0" w:firstLine="0"/>
            </w:pPr>
            <w:r>
              <w:rPr>
                <w:sz w:val="22"/>
              </w:rPr>
              <w:t xml:space="preserve">overwhelmed </w:t>
            </w:r>
          </w:p>
        </w:tc>
      </w:tr>
      <w:tr w:rsidR="00116679" w14:paraId="20AF4EA4"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182A6313" w14:textId="77777777" w:rsidR="00116679" w:rsidRDefault="0041041E">
            <w:pPr>
              <w:spacing w:after="0" w:line="259" w:lineRule="auto"/>
              <w:ind w:left="2" w:firstLine="0"/>
            </w:pPr>
            <w:r>
              <w:rPr>
                <w:sz w:val="22"/>
              </w:rPr>
              <w:t xml:space="preserve">watched </w:t>
            </w:r>
          </w:p>
        </w:tc>
        <w:tc>
          <w:tcPr>
            <w:tcW w:w="3006" w:type="dxa"/>
            <w:tcBorders>
              <w:top w:val="single" w:sz="4" w:space="0" w:color="000000"/>
              <w:left w:val="single" w:sz="4" w:space="0" w:color="000000"/>
              <w:bottom w:val="single" w:sz="4" w:space="0" w:color="000000"/>
              <w:right w:val="single" w:sz="4" w:space="0" w:color="000000"/>
            </w:tcBorders>
          </w:tcPr>
          <w:p w14:paraId="2D279836" w14:textId="77777777" w:rsidR="00116679" w:rsidRDefault="0041041E">
            <w:pPr>
              <w:spacing w:after="0" w:line="259" w:lineRule="auto"/>
              <w:ind w:left="1" w:firstLine="0"/>
            </w:pPr>
            <w:r>
              <w:rPr>
                <w:sz w:val="22"/>
              </w:rPr>
              <w:t xml:space="preserve">deaf ears </w:t>
            </w:r>
          </w:p>
        </w:tc>
        <w:tc>
          <w:tcPr>
            <w:tcW w:w="3006" w:type="dxa"/>
            <w:tcBorders>
              <w:top w:val="single" w:sz="4" w:space="0" w:color="000000"/>
              <w:left w:val="single" w:sz="4" w:space="0" w:color="000000"/>
              <w:bottom w:val="single" w:sz="4" w:space="0" w:color="000000"/>
              <w:right w:val="single" w:sz="4" w:space="0" w:color="000000"/>
            </w:tcBorders>
          </w:tcPr>
          <w:p w14:paraId="63070DF5" w14:textId="77777777" w:rsidR="00116679" w:rsidRDefault="0041041E">
            <w:pPr>
              <w:spacing w:after="0" w:line="259" w:lineRule="auto"/>
              <w:ind w:left="0" w:firstLine="0"/>
            </w:pPr>
            <w:proofErr w:type="gramStart"/>
            <w:r>
              <w:rPr>
                <w:sz w:val="22"/>
              </w:rPr>
              <w:t>can’t</w:t>
            </w:r>
            <w:proofErr w:type="gramEnd"/>
            <w:r>
              <w:rPr>
                <w:sz w:val="22"/>
              </w:rPr>
              <w:t xml:space="preserve"> connect </w:t>
            </w:r>
          </w:p>
        </w:tc>
      </w:tr>
      <w:tr w:rsidR="00116679" w14:paraId="655B660B" w14:textId="77777777">
        <w:trPr>
          <w:trHeight w:val="263"/>
        </w:trPr>
        <w:tc>
          <w:tcPr>
            <w:tcW w:w="3005" w:type="dxa"/>
            <w:tcBorders>
              <w:top w:val="single" w:sz="4" w:space="0" w:color="000000"/>
              <w:left w:val="single" w:sz="4" w:space="0" w:color="000000"/>
              <w:bottom w:val="single" w:sz="4" w:space="0" w:color="000000"/>
              <w:right w:val="single" w:sz="4" w:space="0" w:color="000000"/>
            </w:tcBorders>
          </w:tcPr>
          <w:p w14:paraId="0068ACDE" w14:textId="77777777" w:rsidR="00116679" w:rsidRDefault="0041041E">
            <w:pPr>
              <w:spacing w:after="0" w:line="259" w:lineRule="auto"/>
              <w:ind w:left="2" w:firstLine="0"/>
            </w:pPr>
            <w:r>
              <w:rPr>
                <w:sz w:val="22"/>
              </w:rPr>
              <w:t xml:space="preserve">mind’s eye </w:t>
            </w:r>
          </w:p>
        </w:tc>
        <w:tc>
          <w:tcPr>
            <w:tcW w:w="3006" w:type="dxa"/>
            <w:tcBorders>
              <w:top w:val="single" w:sz="4" w:space="0" w:color="000000"/>
              <w:left w:val="single" w:sz="4" w:space="0" w:color="000000"/>
              <w:bottom w:val="single" w:sz="4" w:space="0" w:color="000000"/>
              <w:right w:val="single" w:sz="4" w:space="0" w:color="000000"/>
            </w:tcBorders>
          </w:tcPr>
          <w:p w14:paraId="4ABC7878" w14:textId="77777777" w:rsidR="00116679" w:rsidRDefault="0041041E">
            <w:pPr>
              <w:spacing w:after="0" w:line="259" w:lineRule="auto"/>
              <w:ind w:left="1" w:firstLine="0"/>
            </w:pPr>
            <w:r>
              <w:rPr>
                <w:sz w:val="22"/>
              </w:rPr>
              <w:t xml:space="preserve">arguing </w:t>
            </w:r>
          </w:p>
        </w:tc>
        <w:tc>
          <w:tcPr>
            <w:tcW w:w="3006" w:type="dxa"/>
            <w:tcBorders>
              <w:top w:val="single" w:sz="4" w:space="0" w:color="000000"/>
              <w:left w:val="single" w:sz="4" w:space="0" w:color="000000"/>
              <w:bottom w:val="single" w:sz="4" w:space="0" w:color="000000"/>
              <w:right w:val="single" w:sz="4" w:space="0" w:color="000000"/>
            </w:tcBorders>
          </w:tcPr>
          <w:p w14:paraId="3B6679CC" w14:textId="77777777" w:rsidR="00116679" w:rsidRDefault="0041041E">
            <w:pPr>
              <w:spacing w:after="0" w:line="259" w:lineRule="auto"/>
              <w:ind w:left="0" w:firstLine="0"/>
            </w:pPr>
            <w:r>
              <w:rPr>
                <w:sz w:val="22"/>
              </w:rPr>
              <w:t xml:space="preserve">out of sync </w:t>
            </w:r>
          </w:p>
        </w:tc>
      </w:tr>
      <w:tr w:rsidR="00116679" w14:paraId="468C4F0C" w14:textId="77777777">
        <w:trPr>
          <w:trHeight w:val="264"/>
        </w:trPr>
        <w:tc>
          <w:tcPr>
            <w:tcW w:w="3005" w:type="dxa"/>
            <w:tcBorders>
              <w:top w:val="single" w:sz="4" w:space="0" w:color="000000"/>
              <w:left w:val="single" w:sz="4" w:space="0" w:color="000000"/>
              <w:bottom w:val="single" w:sz="4" w:space="0" w:color="000000"/>
              <w:right w:val="single" w:sz="4" w:space="0" w:color="000000"/>
            </w:tcBorders>
          </w:tcPr>
          <w:p w14:paraId="7E669327" w14:textId="77777777" w:rsidR="00116679" w:rsidRDefault="0041041E">
            <w:pPr>
              <w:spacing w:after="0" w:line="259" w:lineRule="auto"/>
              <w:ind w:left="2" w:firstLine="0"/>
            </w:pPr>
            <w:r>
              <w:rPr>
                <w:sz w:val="22"/>
              </w:rPr>
              <w:t xml:space="preserve">movie </w:t>
            </w:r>
          </w:p>
        </w:tc>
        <w:tc>
          <w:tcPr>
            <w:tcW w:w="3006" w:type="dxa"/>
            <w:tcBorders>
              <w:top w:val="single" w:sz="4" w:space="0" w:color="000000"/>
              <w:left w:val="single" w:sz="4" w:space="0" w:color="000000"/>
              <w:bottom w:val="single" w:sz="4" w:space="0" w:color="000000"/>
              <w:right w:val="single" w:sz="4" w:space="0" w:color="000000"/>
            </w:tcBorders>
          </w:tcPr>
          <w:p w14:paraId="4028333B" w14:textId="77777777" w:rsidR="00116679" w:rsidRDefault="0041041E">
            <w:pPr>
              <w:spacing w:after="0" w:line="259" w:lineRule="auto"/>
              <w:ind w:left="1" w:firstLine="0"/>
            </w:pPr>
            <w:r>
              <w:rPr>
                <w:sz w:val="22"/>
              </w:rPr>
              <w:t xml:space="preserve">poor communication </w:t>
            </w:r>
          </w:p>
        </w:tc>
        <w:tc>
          <w:tcPr>
            <w:tcW w:w="3006" w:type="dxa"/>
            <w:tcBorders>
              <w:top w:val="single" w:sz="4" w:space="0" w:color="000000"/>
              <w:left w:val="single" w:sz="4" w:space="0" w:color="000000"/>
              <w:bottom w:val="single" w:sz="4" w:space="0" w:color="000000"/>
              <w:right w:val="single" w:sz="4" w:space="0" w:color="000000"/>
            </w:tcBorders>
          </w:tcPr>
          <w:p w14:paraId="61424635" w14:textId="77777777" w:rsidR="00116679" w:rsidRDefault="0041041E">
            <w:pPr>
              <w:spacing w:after="0" w:line="259" w:lineRule="auto"/>
              <w:ind w:left="0" w:firstLine="0"/>
            </w:pPr>
            <w:r>
              <w:rPr>
                <w:sz w:val="22"/>
              </w:rPr>
              <w:t xml:space="preserve">helpless </w:t>
            </w:r>
          </w:p>
        </w:tc>
      </w:tr>
    </w:tbl>
    <w:p w14:paraId="0FC15980" w14:textId="77777777" w:rsidR="00116679" w:rsidRDefault="0041041E">
      <w:pPr>
        <w:spacing w:after="183" w:line="249" w:lineRule="auto"/>
        <w:ind w:left="0" w:firstLine="0"/>
      </w:pPr>
      <w:r>
        <w:rPr>
          <w:sz w:val="22"/>
        </w:rPr>
        <w:t xml:space="preserve">Table 1. Common words/phrases in each of the three main sensory communication modes (Extracted from Rubin </w:t>
      </w:r>
      <w:proofErr w:type="spellStart"/>
      <w:r>
        <w:rPr>
          <w:sz w:val="22"/>
        </w:rPr>
        <w:t>Alaie</w:t>
      </w:r>
      <w:proofErr w:type="spellEnd"/>
      <w:r>
        <w:rPr>
          <w:sz w:val="22"/>
        </w:rPr>
        <w:t xml:space="preserve"> </w:t>
      </w:r>
      <w:r>
        <w:rPr>
          <w:sz w:val="22"/>
          <w:vertAlign w:val="superscript"/>
        </w:rPr>
        <w:t>7</w:t>
      </w:r>
      <w:r>
        <w:rPr>
          <w:sz w:val="22"/>
        </w:rPr>
        <w:t xml:space="preserve">) </w:t>
      </w:r>
    </w:p>
    <w:p w14:paraId="07934AB0" w14:textId="77777777" w:rsidR="00116679" w:rsidRDefault="0041041E">
      <w:pPr>
        <w:spacing w:after="180" w:line="259" w:lineRule="auto"/>
        <w:ind w:left="0" w:firstLine="0"/>
      </w:pPr>
      <w:r>
        <w:rPr>
          <w:sz w:val="22"/>
        </w:rPr>
        <w:t xml:space="preserve"> </w:t>
      </w:r>
    </w:p>
    <w:p w14:paraId="38A4E47B" w14:textId="77777777" w:rsidR="00116679" w:rsidRDefault="0041041E">
      <w:pPr>
        <w:numPr>
          <w:ilvl w:val="0"/>
          <w:numId w:val="4"/>
        </w:numPr>
        <w:spacing w:after="159"/>
        <w:ind w:right="65" w:hanging="720"/>
      </w:pPr>
      <w:r>
        <w:t xml:space="preserve">Matching language </w:t>
      </w:r>
    </w:p>
    <w:p w14:paraId="28DE1269" w14:textId="77777777" w:rsidR="00116679" w:rsidRDefault="0041041E">
      <w:pPr>
        <w:spacing w:after="478"/>
        <w:ind w:left="-5" w:right="65"/>
      </w:pPr>
      <w:r>
        <w:t xml:space="preserve">When the mediator has identified the dominant sensory representation (or mode) for each (and often each mediatee has a different mode), then the mediator can subtly match each </w:t>
      </w:r>
      <w:proofErr w:type="spellStart"/>
      <w:r>
        <w:t>mediatee’s</w:t>
      </w:r>
      <w:proofErr w:type="spellEnd"/>
      <w:r>
        <w:t xml:space="preserve"> mode, pace the conversation and slowly be drawn into that person’s worldview and narrative. </w:t>
      </w:r>
      <w:proofErr w:type="spellStart"/>
      <w:r>
        <w:t>Ricoeur</w:t>
      </w:r>
      <w:proofErr w:type="spellEnd"/>
      <w:r>
        <w:t xml:space="preserve"> called this ‘</w:t>
      </w:r>
      <w:proofErr w:type="spellStart"/>
      <w:r>
        <w:t>emplotment</w:t>
      </w:r>
      <w:proofErr w:type="spellEnd"/>
      <w:r>
        <w:t xml:space="preserve">’. The mediator can add more positive, realistic and real options to the </w:t>
      </w:r>
      <w:proofErr w:type="spellStart"/>
      <w:r>
        <w:t>mediatee’s</w:t>
      </w:r>
      <w:proofErr w:type="spellEnd"/>
      <w:r>
        <w:t xml:space="preserve"> narrative via linguistic metaphors and images called ‘predicates’</w:t>
      </w:r>
      <w:r>
        <w:rPr>
          <w:vertAlign w:val="superscript"/>
        </w:rPr>
        <w:footnoteReference w:id="8"/>
      </w:r>
      <w:r>
        <w:t xml:space="preserve">. </w:t>
      </w:r>
      <w:proofErr w:type="spellStart"/>
      <w:r>
        <w:t>Ricoeur</w:t>
      </w:r>
      <w:proofErr w:type="spellEnd"/>
      <w:r>
        <w:t xml:space="preserve"> held that a person (in this case the mediatee) </w:t>
      </w:r>
      <w:proofErr w:type="gramStart"/>
      <w:r>
        <w:t>could</w:t>
      </w:r>
      <w:proofErr w:type="gramEnd"/>
      <w:r>
        <w:t xml:space="preserve"> </w:t>
      </w:r>
    </w:p>
    <w:p w14:paraId="6A7503CF" w14:textId="4E8A6F87" w:rsidR="00116679" w:rsidRDefault="0041041E">
      <w:pPr>
        <w:spacing w:after="0" w:line="259" w:lineRule="auto"/>
        <w:ind w:left="0" w:firstLine="0"/>
      </w:pPr>
      <w:r>
        <w:rPr>
          <w:rFonts w:ascii="Calibri" w:eastAsia="Calibri" w:hAnsi="Calibri" w:cs="Calibri"/>
          <w:sz w:val="22"/>
        </w:rPr>
        <w:t xml:space="preserve"> </w:t>
      </w:r>
    </w:p>
    <w:p w14:paraId="36002ED8" w14:textId="77777777" w:rsidR="00116679" w:rsidRDefault="0041041E">
      <w:pPr>
        <w:spacing w:after="194"/>
        <w:ind w:left="-5" w:right="65"/>
      </w:pPr>
      <w:r>
        <w:lastRenderedPageBreak/>
        <w:t>‘meaningfully incorporate existing narratives (</w:t>
      </w:r>
      <w:proofErr w:type="gramStart"/>
      <w:r>
        <w:t>e.g.</w:t>
      </w:r>
      <w:proofErr w:type="gramEnd"/>
      <w:r>
        <w:t xml:space="preserve"> as suggested by the mediator….</w:t>
      </w:r>
      <w:r>
        <w:rPr>
          <w:i/>
        </w:rPr>
        <w:t>brackets added by author</w:t>
      </w:r>
      <w:r>
        <w:t xml:space="preserve">) into their own, through interpretation and </w:t>
      </w:r>
      <w:proofErr w:type="spellStart"/>
      <w:r>
        <w:t>emplotment</w:t>
      </w:r>
      <w:proofErr w:type="spellEnd"/>
      <w:r>
        <w:t>, and through this activity open up new — and real — potentialities for the subject’s being in the world.’</w:t>
      </w:r>
      <w:r>
        <w:rPr>
          <w:vertAlign w:val="superscript"/>
        </w:rPr>
        <w:t xml:space="preserve"> </w:t>
      </w:r>
      <w:r>
        <w:rPr>
          <w:vertAlign w:val="superscript"/>
        </w:rPr>
        <w:footnoteReference w:id="9"/>
      </w:r>
      <w:r>
        <w:t xml:space="preserve"> </w:t>
      </w:r>
    </w:p>
    <w:p w14:paraId="4011EF48" w14:textId="77777777" w:rsidR="00116679" w:rsidRDefault="0041041E">
      <w:pPr>
        <w:ind w:left="-5" w:right="65"/>
      </w:pPr>
      <w:r>
        <w:t xml:space="preserve">Matching a </w:t>
      </w:r>
      <w:proofErr w:type="spellStart"/>
      <w:r>
        <w:t>mediatee’s</w:t>
      </w:r>
      <w:proofErr w:type="spellEnd"/>
      <w:r>
        <w:t xml:space="preserve"> sensory representation can be subtly used throughout a mediation but is most useful in the pre-mediation interview, in the agenda setting and within the one-on-one breakout sessions. </w:t>
      </w:r>
    </w:p>
    <w:p w14:paraId="0B157CB2" w14:textId="77777777" w:rsidR="00116679" w:rsidRDefault="0041041E">
      <w:pPr>
        <w:spacing w:after="161" w:line="259" w:lineRule="auto"/>
        <w:ind w:left="0" w:firstLine="0"/>
      </w:pPr>
      <w:r>
        <w:t xml:space="preserve"> </w:t>
      </w:r>
    </w:p>
    <w:p w14:paraId="525D5C7B" w14:textId="77777777" w:rsidR="00116679" w:rsidRDefault="0041041E">
      <w:pPr>
        <w:tabs>
          <w:tab w:val="center" w:pos="2117"/>
        </w:tabs>
        <w:ind w:left="-15" w:firstLine="0"/>
      </w:pPr>
      <w:r>
        <w:t>iii.</w:t>
      </w:r>
      <w:r>
        <w:rPr>
          <w:b/>
        </w:rPr>
        <w:t xml:space="preserve">  </w:t>
      </w:r>
      <w:r>
        <w:rPr>
          <w:b/>
        </w:rPr>
        <w:tab/>
      </w:r>
      <w:r>
        <w:t>Matching</w:t>
      </w:r>
      <w:r>
        <w:rPr>
          <w:i/>
        </w:rPr>
        <w:t xml:space="preserve"> </w:t>
      </w:r>
      <w:r>
        <w:t>body language</w:t>
      </w:r>
      <w:r>
        <w:rPr>
          <w:vertAlign w:val="superscript"/>
        </w:rPr>
        <w:footnoteReference w:id="10"/>
      </w:r>
      <w:r>
        <w:t xml:space="preserve"> </w:t>
      </w:r>
    </w:p>
    <w:p w14:paraId="62B1ADC7" w14:textId="77777777" w:rsidR="00116679" w:rsidRDefault="0041041E">
      <w:pPr>
        <w:spacing w:after="0" w:line="259" w:lineRule="auto"/>
        <w:ind w:left="0" w:firstLine="0"/>
      </w:pPr>
      <w:r>
        <w:t xml:space="preserve"> </w:t>
      </w:r>
    </w:p>
    <w:p w14:paraId="556495FD" w14:textId="77777777" w:rsidR="00116679" w:rsidRDefault="0041041E">
      <w:pPr>
        <w:ind w:left="-5" w:right="65"/>
      </w:pPr>
      <w:r>
        <w:t xml:space="preserve">This is analogous to the entrainment produced by the mediator as a conductor (See ‘The mediator as a conductor’ in </w:t>
      </w:r>
      <w:r>
        <w:rPr>
          <w:i/>
        </w:rPr>
        <w:t>Pulse</w:t>
      </w:r>
      <w:r>
        <w:t>, September 2020</w:t>
      </w:r>
      <w:hyperlink r:id="rId7">
        <w:r>
          <w:t xml:space="preserve"> </w:t>
        </w:r>
      </w:hyperlink>
      <w:hyperlink r:id="rId8">
        <w:r>
          <w:rPr>
            <w:color w:val="0000FF"/>
            <w:u w:val="single" w:color="0000FF"/>
          </w:rPr>
          <w:t>here</w:t>
        </w:r>
      </w:hyperlink>
      <w:hyperlink r:id="rId9">
        <w:r>
          <w:t>)</w:t>
        </w:r>
      </w:hyperlink>
      <w:r>
        <w:t xml:space="preserve"> </w:t>
      </w:r>
    </w:p>
    <w:p w14:paraId="0EDAFDEE" w14:textId="77777777" w:rsidR="00116679" w:rsidRDefault="0041041E">
      <w:pPr>
        <w:spacing w:after="0" w:line="259" w:lineRule="auto"/>
        <w:ind w:left="0" w:firstLine="0"/>
      </w:pPr>
      <w:r>
        <w:rPr>
          <w:i/>
        </w:rPr>
        <w:t xml:space="preserve"> </w:t>
      </w:r>
    </w:p>
    <w:p w14:paraId="024C3FF9" w14:textId="77777777" w:rsidR="00116679" w:rsidRDefault="0041041E">
      <w:pPr>
        <w:numPr>
          <w:ilvl w:val="0"/>
          <w:numId w:val="5"/>
        </w:numPr>
        <w:ind w:right="65" w:hanging="148"/>
      </w:pPr>
      <w:r>
        <w:t xml:space="preserve">breathing pattern: match your breathing rate to that of each mediatee in the </w:t>
      </w:r>
      <w:proofErr w:type="spellStart"/>
      <w:r>
        <w:t>premediation</w:t>
      </w:r>
      <w:proofErr w:type="spellEnd"/>
      <w:r>
        <w:t xml:space="preserve"> meeting, when listening to their initial narrative and during the one-on-one sessions </w:t>
      </w:r>
    </w:p>
    <w:p w14:paraId="423EE2E3" w14:textId="77777777" w:rsidR="00116679" w:rsidRDefault="0041041E">
      <w:pPr>
        <w:numPr>
          <w:ilvl w:val="0"/>
          <w:numId w:val="5"/>
        </w:numPr>
        <w:ind w:right="65" w:hanging="148"/>
      </w:pPr>
      <w:r>
        <w:t xml:space="preserve">posture: adjust your posture in subtle ways to approximate a </w:t>
      </w:r>
      <w:proofErr w:type="spellStart"/>
      <w:r>
        <w:t>mediatee's</w:t>
      </w:r>
      <w:proofErr w:type="spellEnd"/>
      <w:r>
        <w:t xml:space="preserve"> </w:t>
      </w:r>
      <w:proofErr w:type="gramStart"/>
      <w:r>
        <w:t>posture</w:t>
      </w:r>
      <w:proofErr w:type="gramEnd"/>
      <w:r>
        <w:t xml:space="preserve"> </w:t>
      </w:r>
    </w:p>
    <w:p w14:paraId="0192F77C" w14:textId="77777777" w:rsidR="00116679" w:rsidRDefault="0041041E">
      <w:pPr>
        <w:numPr>
          <w:ilvl w:val="0"/>
          <w:numId w:val="5"/>
        </w:numPr>
        <w:ind w:right="65" w:hanging="148"/>
      </w:pPr>
      <w:r>
        <w:t xml:space="preserve">gestures: use similar hand and facial gesture when </w:t>
      </w:r>
      <w:proofErr w:type="gramStart"/>
      <w:r>
        <w:t>appropriate</w:t>
      </w:r>
      <w:proofErr w:type="gramEnd"/>
      <w:r>
        <w:t xml:space="preserve"> </w:t>
      </w:r>
    </w:p>
    <w:p w14:paraId="7E2D126E" w14:textId="77777777" w:rsidR="00116679" w:rsidRDefault="0041041E">
      <w:pPr>
        <w:numPr>
          <w:ilvl w:val="0"/>
          <w:numId w:val="5"/>
        </w:numPr>
        <w:spacing w:after="151"/>
        <w:ind w:right="65" w:hanging="148"/>
      </w:pPr>
      <w:r>
        <w:t xml:space="preserve">eye contact: to be used whenever possible as this is the ultimate way of engaging and holding a person's </w:t>
      </w:r>
      <w:proofErr w:type="gramStart"/>
      <w:r>
        <w:t>attention</w:t>
      </w:r>
      <w:proofErr w:type="gramEnd"/>
      <w:r>
        <w:t xml:space="preserve"> </w:t>
      </w:r>
    </w:p>
    <w:p w14:paraId="2229039E" w14:textId="77777777" w:rsidR="00116679" w:rsidRDefault="0041041E">
      <w:pPr>
        <w:spacing w:after="2" w:line="259" w:lineRule="auto"/>
        <w:ind w:left="0" w:firstLine="0"/>
      </w:pPr>
      <w:r>
        <w:t xml:space="preserve"> </w:t>
      </w:r>
    </w:p>
    <w:p w14:paraId="1A7C9AF1" w14:textId="77777777" w:rsidR="00116679" w:rsidRDefault="0041041E">
      <w:pPr>
        <w:tabs>
          <w:tab w:val="center" w:pos="1910"/>
        </w:tabs>
        <w:ind w:left="-15" w:firstLine="0"/>
      </w:pPr>
      <w:r>
        <w:t xml:space="preserve">iv.  </w:t>
      </w:r>
      <w:r>
        <w:tab/>
        <w:t>Matching voice tone.</w:t>
      </w:r>
      <w:r>
        <w:rPr>
          <w:vertAlign w:val="superscript"/>
        </w:rPr>
        <w:footnoteReference w:id="11"/>
      </w:r>
      <w:r>
        <w:t xml:space="preserve"> </w:t>
      </w:r>
    </w:p>
    <w:p w14:paraId="3950E186" w14:textId="77777777" w:rsidR="00116679" w:rsidRDefault="0041041E">
      <w:pPr>
        <w:spacing w:after="159" w:line="259" w:lineRule="auto"/>
        <w:ind w:left="0" w:firstLine="0"/>
      </w:pPr>
      <w:r>
        <w:t xml:space="preserve"> </w:t>
      </w:r>
    </w:p>
    <w:p w14:paraId="6EE8A094" w14:textId="77777777" w:rsidR="00116679" w:rsidRDefault="0041041E">
      <w:pPr>
        <w:ind w:left="-5" w:right="65"/>
      </w:pPr>
      <w:r>
        <w:t xml:space="preserve">This matching is very important where mediation is done over the phone as the visual component is missing. </w:t>
      </w:r>
    </w:p>
    <w:p w14:paraId="6D6531DE" w14:textId="77777777" w:rsidR="00116679" w:rsidRDefault="0041041E">
      <w:pPr>
        <w:numPr>
          <w:ilvl w:val="0"/>
          <w:numId w:val="6"/>
        </w:numPr>
        <w:ind w:right="65" w:hanging="148"/>
      </w:pPr>
      <w:r>
        <w:t xml:space="preserve">speed of speech </w:t>
      </w:r>
    </w:p>
    <w:p w14:paraId="5E370543" w14:textId="77777777" w:rsidR="00116679" w:rsidRDefault="0041041E">
      <w:pPr>
        <w:numPr>
          <w:ilvl w:val="0"/>
          <w:numId w:val="6"/>
        </w:numPr>
        <w:ind w:right="65" w:hanging="148"/>
      </w:pPr>
      <w:r>
        <w:t xml:space="preserve">volume of speech </w:t>
      </w:r>
    </w:p>
    <w:p w14:paraId="7FD1BFAA" w14:textId="77777777" w:rsidR="00116679" w:rsidRDefault="0041041E">
      <w:pPr>
        <w:numPr>
          <w:ilvl w:val="0"/>
          <w:numId w:val="6"/>
        </w:numPr>
        <w:ind w:right="65" w:hanging="148"/>
      </w:pPr>
      <w:r>
        <w:t xml:space="preserve">rhythm of speech </w:t>
      </w:r>
    </w:p>
    <w:p w14:paraId="2CB2E547" w14:textId="77777777" w:rsidR="00116679" w:rsidRDefault="0041041E">
      <w:pPr>
        <w:numPr>
          <w:ilvl w:val="0"/>
          <w:numId w:val="6"/>
        </w:numPr>
        <w:spacing w:after="152"/>
        <w:ind w:right="65" w:hanging="148"/>
      </w:pPr>
      <w:r>
        <w:t>characteristic sounds (</w:t>
      </w:r>
      <w:proofErr w:type="gramStart"/>
      <w:r>
        <w:t>e.g.</w:t>
      </w:r>
      <w:proofErr w:type="gramEnd"/>
      <w:r>
        <w:t xml:space="preserve"> coughs, sighs and hesitations) </w:t>
      </w:r>
    </w:p>
    <w:p w14:paraId="6612ACD5" w14:textId="77777777" w:rsidR="00116679" w:rsidRDefault="0041041E">
      <w:pPr>
        <w:spacing w:after="355" w:line="259" w:lineRule="auto"/>
        <w:ind w:left="0" w:firstLine="0"/>
      </w:pPr>
      <w:r>
        <w:t xml:space="preserve"> </w:t>
      </w:r>
    </w:p>
    <w:p w14:paraId="757D51A0" w14:textId="40AB900B" w:rsidR="00116679" w:rsidRDefault="0041041E">
      <w:pPr>
        <w:spacing w:after="0" w:line="259" w:lineRule="auto"/>
        <w:ind w:left="0" w:firstLine="0"/>
      </w:pPr>
      <w:r>
        <w:rPr>
          <w:rFonts w:ascii="Calibri" w:eastAsia="Calibri" w:hAnsi="Calibri" w:cs="Calibri"/>
          <w:sz w:val="22"/>
        </w:rPr>
        <w:t xml:space="preserve"> </w:t>
      </w:r>
    </w:p>
    <w:p w14:paraId="2557AFFA" w14:textId="77777777" w:rsidR="00116679" w:rsidRDefault="0041041E">
      <w:pPr>
        <w:pStyle w:val="Heading1"/>
        <w:spacing w:after="122"/>
        <w:ind w:left="-5"/>
      </w:pPr>
      <w:r>
        <w:lastRenderedPageBreak/>
        <w:t xml:space="preserve">The Neuroscientific validation of NLP </w:t>
      </w:r>
    </w:p>
    <w:p w14:paraId="3006BDF9" w14:textId="77777777" w:rsidR="00116679" w:rsidRDefault="0041041E">
      <w:pPr>
        <w:spacing w:after="169"/>
        <w:ind w:left="-5" w:right="65"/>
      </w:pPr>
      <w:r>
        <w:t xml:space="preserve">NLP has been heavily criticised by many researchers as being unscientific, unproven and yet another example of the California self-help movement from the seventies. This may well be at least partly true with the later ‘editions’, ‘models’, or revisions that incorporated NLP into salesmanship, sports, hypnosis and as a quick fix for memory problems. However, at the basic level, Bandler and Grinder’s universal modelling process of surface and deep structure has been validated by ongoing research by scientists into hippocampal memory storage, </w:t>
      </w:r>
      <w:proofErr w:type="gramStart"/>
      <w:r>
        <w:t>retrieval</w:t>
      </w:r>
      <w:proofErr w:type="gramEnd"/>
      <w:r>
        <w:t xml:space="preserve"> and decay over time.  </w:t>
      </w:r>
    </w:p>
    <w:p w14:paraId="0DB2BD1F" w14:textId="77777777" w:rsidR="00116679" w:rsidRDefault="0041041E">
      <w:pPr>
        <w:spacing w:after="142"/>
        <w:ind w:left="-5" w:right="65"/>
      </w:pPr>
      <w:r>
        <w:t xml:space="preserve">The following is a review of current knowledge relevant to Bandler and Grinder’s basic NLP. Reading it is not mandatory for </w:t>
      </w:r>
      <w:proofErr w:type="gramStart"/>
      <w:r>
        <w:t>mediators</w:t>
      </w:r>
      <w:proofErr w:type="gramEnd"/>
      <w:r>
        <w:t xml:space="preserve"> but a little extra knowledge never hurt anyone. You might see what Bandler and Grinder did; it might sound good to you and you might grasp the concept.  </w:t>
      </w:r>
    </w:p>
    <w:p w14:paraId="1D0E0290" w14:textId="77777777" w:rsidR="00116679" w:rsidRDefault="0041041E">
      <w:pPr>
        <w:spacing w:after="110" w:line="259" w:lineRule="auto"/>
        <w:ind w:left="0" w:right="4" w:firstLine="0"/>
        <w:jc w:val="center"/>
      </w:pPr>
      <w:r>
        <w:rPr>
          <w:noProof/>
        </w:rPr>
        <w:drawing>
          <wp:inline distT="0" distB="0" distL="0" distR="0" wp14:anchorId="08AF091E" wp14:editId="3DFD835D">
            <wp:extent cx="3121025" cy="3121025"/>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10"/>
                    <a:stretch>
                      <a:fillRect/>
                    </a:stretch>
                  </pic:blipFill>
                  <pic:spPr>
                    <a:xfrm>
                      <a:off x="0" y="0"/>
                      <a:ext cx="3121025" cy="3121025"/>
                    </a:xfrm>
                    <a:prstGeom prst="rect">
                      <a:avLst/>
                    </a:prstGeom>
                  </pic:spPr>
                </pic:pic>
              </a:graphicData>
            </a:graphic>
          </wp:inline>
        </w:drawing>
      </w:r>
      <w:r>
        <w:t xml:space="preserve"> </w:t>
      </w:r>
    </w:p>
    <w:p w14:paraId="3D851FE9" w14:textId="77777777" w:rsidR="00116679" w:rsidRDefault="0041041E">
      <w:pPr>
        <w:spacing w:after="151"/>
        <w:ind w:left="-5" w:right="65"/>
      </w:pPr>
      <w:r>
        <w:t xml:space="preserve">Fig.1 Memory sites in the brain </w:t>
      </w:r>
    </w:p>
    <w:p w14:paraId="37260011" w14:textId="77777777" w:rsidR="00116679" w:rsidRDefault="0041041E">
      <w:pPr>
        <w:spacing w:after="138"/>
        <w:ind w:left="-5" w:right="65"/>
      </w:pPr>
      <w:r>
        <w:t xml:space="preserve">Memory can exist as short-term storage in the hippocampus and/or </w:t>
      </w:r>
      <w:proofErr w:type="gramStart"/>
      <w:r>
        <w:t>long term</w:t>
      </w:r>
      <w:proofErr w:type="gramEnd"/>
      <w:r>
        <w:t xml:space="preserve"> storage primarily in the neocortex (the outer regions of the brain — see Fig.1). Initiation of memory comes from sensory impulses</w:t>
      </w:r>
      <w:r>
        <w:rPr>
          <w:vertAlign w:val="superscript"/>
        </w:rPr>
        <w:footnoteReference w:id="12"/>
      </w:r>
      <w:r>
        <w:t xml:space="preserve"> (visual, auditory, </w:t>
      </w:r>
      <w:proofErr w:type="spellStart"/>
      <w:r>
        <w:t>kinesthetic</w:t>
      </w:r>
      <w:proofErr w:type="spellEnd"/>
      <w:r>
        <w:t xml:space="preserve">, </w:t>
      </w:r>
    </w:p>
    <w:p w14:paraId="12800610" w14:textId="77777777" w:rsidR="00116679" w:rsidRDefault="0041041E">
      <w:pPr>
        <w:spacing w:after="190"/>
        <w:ind w:left="-5" w:right="65"/>
      </w:pPr>
      <w:r>
        <w:t xml:space="preserve">olfactory and gustatory) via the limbic system (hippocampus, cingulate cortex, olfactory cortex, and amygdala) and emotions from the hind brain. The hippocampus encodes these signals as episodic modules that are placed/embedded in the neocortex and other parts of the brain. Similar memory modules overlap each new </w:t>
      </w:r>
      <w:r>
        <w:lastRenderedPageBreak/>
        <w:t xml:space="preserve">module. Once this occurs the hippocampus no longer stores that memory. </w:t>
      </w:r>
      <w:proofErr w:type="gramStart"/>
      <w:r>
        <w:t>Instead</w:t>
      </w:r>
      <w:proofErr w:type="gramEnd"/>
      <w:r>
        <w:t xml:space="preserve"> it indexes it, so that if that memory is called for, it can be rapidly retrieved from the neocortex as vivid sensory and perceptual constructs. With repeated memory recall that original module is blended with the overlapping parts of similar modules. It is accurate but changed, recoded by the </w:t>
      </w:r>
      <w:proofErr w:type="gramStart"/>
      <w:r>
        <w:t>hippocampus</w:t>
      </w:r>
      <w:proofErr w:type="gramEnd"/>
      <w:r>
        <w:t xml:space="preserve"> and stored in the neocortex. Over time these blended memory modules can become strengthened and independent of the hippocampus (</w:t>
      </w:r>
      <w:proofErr w:type="gramStart"/>
      <w:r>
        <w:t>i.e.</w:t>
      </w:r>
      <w:proofErr w:type="gramEnd"/>
      <w:r>
        <w:t xml:space="preserve"> can operate directly out of the neocortex). With repeated recall these memory constructs lose their </w:t>
      </w:r>
      <w:proofErr w:type="spellStart"/>
      <w:r>
        <w:t>contextural</w:t>
      </w:r>
      <w:proofErr w:type="spellEnd"/>
      <w:r>
        <w:t xml:space="preserve"> richness and accuracy (decontextualised) and become more semantic (factual, lacking sensory and emotional impact) and often inaccurate. Yassa and </w:t>
      </w:r>
      <w:proofErr w:type="spellStart"/>
      <w:r>
        <w:t>Reagh</w:t>
      </w:r>
      <w:proofErr w:type="spellEnd"/>
      <w:r>
        <w:rPr>
          <w:vertAlign w:val="superscript"/>
        </w:rPr>
        <w:footnoteReference w:id="13"/>
      </w:r>
      <w:r>
        <w:t xml:space="preserve"> suggest this is a continuum (see Fig.2) </w:t>
      </w:r>
    </w:p>
    <w:p w14:paraId="54753CF2" w14:textId="77777777" w:rsidR="00116679" w:rsidRDefault="0041041E">
      <w:pPr>
        <w:pStyle w:val="Heading1"/>
        <w:ind w:left="-5"/>
      </w:pPr>
      <w:r>
        <w:t>Memory storage and retrieval</w:t>
      </w:r>
    </w:p>
    <w:p w14:paraId="30B00567" w14:textId="77777777" w:rsidR="00116679" w:rsidRDefault="0041041E">
      <w:pPr>
        <w:spacing w:after="0" w:line="259" w:lineRule="auto"/>
        <w:ind w:left="0" w:firstLine="0"/>
        <w:jc w:val="right"/>
      </w:pPr>
      <w:r>
        <w:rPr>
          <w:noProof/>
        </w:rPr>
        <w:drawing>
          <wp:inline distT="0" distB="0" distL="0" distR="0" wp14:anchorId="0535B0EC" wp14:editId="77D0FF1C">
            <wp:extent cx="5731510" cy="3751580"/>
            <wp:effectExtent l="0" t="0" r="0" b="0"/>
            <wp:docPr id="1623" name="Picture 1623"/>
            <wp:cNvGraphicFramePr/>
            <a:graphic xmlns:a="http://schemas.openxmlformats.org/drawingml/2006/main">
              <a:graphicData uri="http://schemas.openxmlformats.org/drawingml/2006/picture">
                <pic:pic xmlns:pic="http://schemas.openxmlformats.org/drawingml/2006/picture">
                  <pic:nvPicPr>
                    <pic:cNvPr id="1623" name="Picture 1623"/>
                    <pic:cNvPicPr/>
                  </pic:nvPicPr>
                  <pic:blipFill>
                    <a:blip r:embed="rId11"/>
                    <a:stretch>
                      <a:fillRect/>
                    </a:stretch>
                  </pic:blipFill>
                  <pic:spPr>
                    <a:xfrm>
                      <a:off x="0" y="0"/>
                      <a:ext cx="5731510" cy="3751580"/>
                    </a:xfrm>
                    <a:prstGeom prst="rect">
                      <a:avLst/>
                    </a:prstGeom>
                  </pic:spPr>
                </pic:pic>
              </a:graphicData>
            </a:graphic>
          </wp:inline>
        </w:drawing>
      </w:r>
      <w:r>
        <w:t xml:space="preserve"> </w:t>
      </w:r>
    </w:p>
    <w:p w14:paraId="6BCC1310" w14:textId="77777777" w:rsidR="00116679" w:rsidRDefault="0041041E">
      <w:pPr>
        <w:spacing w:after="261"/>
        <w:ind w:left="-5" w:right="3403"/>
      </w:pPr>
      <w:r>
        <w:t xml:space="preserve">Fig.2. Memory storage and retrieval continuum Taken from Yassa and </w:t>
      </w:r>
      <w:proofErr w:type="spellStart"/>
      <w:r>
        <w:t>Reagh</w:t>
      </w:r>
      <w:proofErr w:type="spellEnd"/>
      <w:r>
        <w:rPr>
          <w:vertAlign w:val="superscript"/>
        </w:rPr>
        <w:footnoteReference w:id="14"/>
      </w:r>
      <w:r>
        <w:t xml:space="preserve"> </w:t>
      </w:r>
    </w:p>
    <w:p w14:paraId="3A025CF0" w14:textId="77777777" w:rsidR="00116679" w:rsidRDefault="0041041E">
      <w:pPr>
        <w:pStyle w:val="Heading1"/>
        <w:spacing w:after="124"/>
        <w:ind w:left="-5"/>
      </w:pPr>
      <w:r>
        <w:lastRenderedPageBreak/>
        <w:t xml:space="preserve">Conclusion </w:t>
      </w:r>
    </w:p>
    <w:p w14:paraId="29DAD89A" w14:textId="5DEFD598" w:rsidR="00116679" w:rsidRDefault="0041041E" w:rsidP="00DA4BAB">
      <w:pPr>
        <w:spacing w:after="33"/>
        <w:ind w:left="-5" w:right="65"/>
      </w:pPr>
      <w:r>
        <w:t xml:space="preserve">Bandler and Grinder’s sensory mapping and linguistic communication modes, in a person under stress or affected by a recall of a previous stress or shock </w:t>
      </w:r>
      <w:r w:rsidR="00DA4BAB">
        <w:br/>
      </w:r>
      <w:r>
        <w:t xml:space="preserve">match da Vinci’s quote. Such a person would be one </w:t>
      </w:r>
      <w:proofErr w:type="gramStart"/>
      <w:r>
        <w:t>who</w:t>
      </w:r>
      <w:proofErr w:type="gramEnd"/>
      <w:r>
        <w:t xml:space="preserve"> </w:t>
      </w:r>
    </w:p>
    <w:p w14:paraId="4BB46004" w14:textId="77777777" w:rsidR="00116679" w:rsidRDefault="0041041E">
      <w:pPr>
        <w:spacing w:after="158" w:line="260" w:lineRule="auto"/>
        <w:ind w:left="-5"/>
      </w:pPr>
      <w:r>
        <w:rPr>
          <w:i/>
        </w:rPr>
        <w:t xml:space="preserve">‘looks without seeing, listens without hearing, touches without feeling, eats without tasting, moves without physical awareness, inhales without awareness of odour or fragrance, and talks without thinking.’ </w:t>
      </w:r>
    </w:p>
    <w:p w14:paraId="61D44BA6" w14:textId="77777777" w:rsidR="00116679" w:rsidRDefault="0041041E">
      <w:pPr>
        <w:spacing w:after="151"/>
        <w:ind w:left="-5" w:right="65"/>
      </w:pPr>
      <w:r>
        <w:t xml:space="preserve">Bandler and Grinder cracked the code and showed the world how to rectify the sensory anomalies, leading to better functioning. </w:t>
      </w:r>
    </w:p>
    <w:p w14:paraId="2867031C" w14:textId="77777777" w:rsidR="00116679" w:rsidRDefault="0041041E">
      <w:pPr>
        <w:spacing w:after="160" w:line="259" w:lineRule="auto"/>
        <w:ind w:left="0" w:firstLine="0"/>
      </w:pPr>
      <w:r>
        <w:t xml:space="preserve"> </w:t>
      </w:r>
    </w:p>
    <w:p w14:paraId="12EF20EA" w14:textId="77777777" w:rsidR="00116679" w:rsidRDefault="0041041E">
      <w:pPr>
        <w:spacing w:after="0" w:line="259" w:lineRule="auto"/>
        <w:ind w:left="0" w:firstLine="0"/>
      </w:pPr>
      <w:r>
        <w:t xml:space="preserve"> </w:t>
      </w:r>
    </w:p>
    <w:sectPr w:rsidR="00116679">
      <w:headerReference w:type="even" r:id="rId12"/>
      <w:headerReference w:type="default" r:id="rId13"/>
      <w:headerReference w:type="first" r:id="rId14"/>
      <w:pgSz w:w="11906" w:h="16838"/>
      <w:pgMar w:top="1781" w:right="1369" w:bottom="1439"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DB6A" w14:textId="77777777" w:rsidR="003F26DD" w:rsidRDefault="003F26DD">
      <w:pPr>
        <w:spacing w:after="0" w:line="240" w:lineRule="auto"/>
      </w:pPr>
      <w:r>
        <w:separator/>
      </w:r>
    </w:p>
  </w:endnote>
  <w:endnote w:type="continuationSeparator" w:id="0">
    <w:p w14:paraId="0D670069" w14:textId="77777777" w:rsidR="003F26DD" w:rsidRDefault="003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96B9" w14:textId="77777777" w:rsidR="003F26DD" w:rsidRDefault="003F26DD">
      <w:pPr>
        <w:spacing w:after="0" w:line="259" w:lineRule="auto"/>
        <w:ind w:left="0" w:firstLine="0"/>
        <w:jc w:val="both"/>
      </w:pPr>
      <w:r>
        <w:separator/>
      </w:r>
    </w:p>
  </w:footnote>
  <w:footnote w:type="continuationSeparator" w:id="0">
    <w:p w14:paraId="1CCF2C5F" w14:textId="77777777" w:rsidR="003F26DD" w:rsidRDefault="003F26DD">
      <w:pPr>
        <w:spacing w:after="0" w:line="259" w:lineRule="auto"/>
        <w:ind w:left="0" w:firstLine="0"/>
        <w:jc w:val="both"/>
      </w:pPr>
      <w:r>
        <w:continuationSeparator/>
      </w:r>
    </w:p>
  </w:footnote>
  <w:footnote w:id="1">
    <w:p w14:paraId="44A565A5" w14:textId="77777777" w:rsidR="00116679" w:rsidRDefault="0041041E">
      <w:pPr>
        <w:pStyle w:val="footnotedescription"/>
        <w:jc w:val="both"/>
      </w:pPr>
      <w:r>
        <w:rPr>
          <w:rStyle w:val="footnotemark"/>
        </w:rPr>
        <w:footnoteRef/>
      </w:r>
      <w:r>
        <w:t xml:space="preserve"> The Notebooks of Leonardo da Vinci- Complete. Project Gutenberg </w:t>
      </w:r>
      <w:proofErr w:type="spellStart"/>
      <w:r>
        <w:t>Ebook</w:t>
      </w:r>
      <w:proofErr w:type="spellEnd"/>
      <w:r>
        <w:t xml:space="preserve">  2004 Translated by Jean </w:t>
      </w:r>
    </w:p>
    <w:p w14:paraId="18393FD7" w14:textId="77777777" w:rsidR="00116679" w:rsidRDefault="0041041E">
      <w:pPr>
        <w:pStyle w:val="footnotedescription"/>
      </w:pPr>
      <w:r>
        <w:t xml:space="preserve">Paul Richter 1888. Downloaded: http://www.gutenberg.org/ebooks/5000 </w:t>
      </w:r>
    </w:p>
  </w:footnote>
  <w:footnote w:id="2">
    <w:p w14:paraId="6752C6DD" w14:textId="77777777" w:rsidR="00116679" w:rsidRDefault="0041041E">
      <w:pPr>
        <w:pStyle w:val="footnotedescription"/>
        <w:spacing w:line="253" w:lineRule="auto"/>
      </w:pPr>
      <w:r>
        <w:rPr>
          <w:rStyle w:val="footnotemark"/>
        </w:rPr>
        <w:footnoteRef/>
      </w:r>
      <w:r>
        <w:t xml:space="preserve"> Norman Cowan. The magical number 4 in short-term memory: a reconsideration of mental storage capacity. </w:t>
      </w:r>
      <w:proofErr w:type="spellStart"/>
      <w:r>
        <w:t>Behav</w:t>
      </w:r>
      <w:proofErr w:type="spellEnd"/>
      <w:r>
        <w:t xml:space="preserve"> Brain Sci. 2001 Feb;24(1):87-114; discussion 114-85. doi: </w:t>
      </w:r>
    </w:p>
    <w:p w14:paraId="6DA3E91E" w14:textId="77777777" w:rsidR="00116679" w:rsidRDefault="0041041E">
      <w:pPr>
        <w:pStyle w:val="footnotedescription"/>
      </w:pPr>
      <w:r>
        <w:t xml:space="preserve">10.1017/s0140525x01003922. PMID: 11515286. </w:t>
      </w:r>
    </w:p>
  </w:footnote>
  <w:footnote w:id="3">
    <w:p w14:paraId="44332620" w14:textId="77777777" w:rsidR="00116679" w:rsidRDefault="0041041E">
      <w:pPr>
        <w:pStyle w:val="footnotedescription"/>
        <w:spacing w:line="243" w:lineRule="auto"/>
      </w:pPr>
      <w:r>
        <w:rPr>
          <w:rStyle w:val="footnotemark"/>
        </w:rPr>
        <w:footnoteRef/>
      </w:r>
      <w:r>
        <w:t xml:space="preserve"> George Miller. The magical number seven, plus or minus two: some limits on our capacity for processing information. 1956. Psychol Rev. 1994 Apr;101(2):343-52. doi: 10.1037/0033295x.101.2.343. PMID: 8022966.</w:t>
      </w:r>
      <w:r>
        <w:rPr>
          <w:vertAlign w:val="superscript"/>
        </w:rPr>
        <w:t xml:space="preserve"> </w:t>
      </w:r>
    </w:p>
  </w:footnote>
  <w:footnote w:id="4">
    <w:p w14:paraId="794A67C6" w14:textId="77777777" w:rsidR="00116679" w:rsidRDefault="0041041E">
      <w:pPr>
        <w:pStyle w:val="footnotedescription"/>
      </w:pPr>
      <w:r>
        <w:rPr>
          <w:rStyle w:val="footnotemark"/>
        </w:rPr>
        <w:footnoteRef/>
      </w:r>
      <w:r>
        <w:t xml:space="preserve"> Richard Bandler and John Grinder Structure of Magic Vol.1 &amp; 2 </w:t>
      </w:r>
    </w:p>
  </w:footnote>
  <w:footnote w:id="5">
    <w:p w14:paraId="367C0214" w14:textId="77777777" w:rsidR="00116679" w:rsidRDefault="0041041E">
      <w:pPr>
        <w:pStyle w:val="footnotedescription"/>
        <w:spacing w:after="150" w:line="267" w:lineRule="auto"/>
      </w:pPr>
      <w:r>
        <w:rPr>
          <w:rStyle w:val="footnotemark"/>
        </w:rPr>
        <w:footnoteRef/>
      </w:r>
      <w:r>
        <w:t xml:space="preserve"> Russell W. Chan, Alex T. L. Leong, Leon C. Ho, Patrick P. Gao, Eddie C. Wong, Celia M. Dong, </w:t>
      </w:r>
      <w:proofErr w:type="spellStart"/>
      <w:r>
        <w:t>Xunda</w:t>
      </w:r>
      <w:proofErr w:type="spellEnd"/>
      <w:r>
        <w:t xml:space="preserve"> Wang, </w:t>
      </w:r>
      <w:proofErr w:type="spellStart"/>
      <w:r>
        <w:t>Jufang</w:t>
      </w:r>
      <w:proofErr w:type="spellEnd"/>
      <w:r>
        <w:t xml:space="preserve"> He, Ying-Shing Chan, Lee Wei Lim, Ed X. Wu . </w:t>
      </w:r>
      <w:r>
        <w:rPr>
          <w:i/>
        </w:rPr>
        <w:t>Hippocampus drives functional connectivity</w:t>
      </w:r>
      <w:r>
        <w:t xml:space="preserve">. Proceedings of the National Academy of Sciences Aug 2017, 114 (33) E6972-E6981; DOI: 10.1073/pnas.1703309114  </w:t>
      </w:r>
    </w:p>
  </w:footnote>
  <w:footnote w:id="6">
    <w:p w14:paraId="4E688983" w14:textId="77777777" w:rsidR="00116679" w:rsidRDefault="0041041E">
      <w:pPr>
        <w:pStyle w:val="footnotedescription"/>
        <w:spacing w:line="238" w:lineRule="auto"/>
        <w:ind w:right="5"/>
      </w:pPr>
      <w:r>
        <w:rPr>
          <w:rStyle w:val="footnotemark"/>
        </w:rPr>
        <w:footnoteRef/>
      </w:r>
      <w:r>
        <w:t xml:space="preserve"> </w:t>
      </w:r>
      <w:r>
        <w:rPr>
          <w:i/>
        </w:rPr>
        <w:t xml:space="preserve">Michael </w:t>
      </w:r>
      <w:proofErr w:type="spellStart"/>
      <w:r>
        <w:rPr>
          <w:i/>
        </w:rPr>
        <w:t>A.Yassa</w:t>
      </w:r>
      <w:proofErr w:type="spellEnd"/>
      <w:r>
        <w:rPr>
          <w:i/>
        </w:rPr>
        <w:t xml:space="preserve"> and Zachariah M. </w:t>
      </w:r>
      <w:proofErr w:type="spellStart"/>
      <w:r>
        <w:rPr>
          <w:i/>
        </w:rPr>
        <w:t>Reagh</w:t>
      </w:r>
      <w:proofErr w:type="spellEnd"/>
      <w:r>
        <w:t xml:space="preserve">  </w:t>
      </w:r>
      <w:r>
        <w:rPr>
          <w:i/>
        </w:rPr>
        <w:t>Competitive trace theory: a role for the hippocampus in contextual interference during retrieval</w:t>
      </w:r>
      <w:r>
        <w:rPr>
          <w:color w:val="015BAA"/>
        </w:rPr>
        <w:t xml:space="preserve">. </w:t>
      </w:r>
      <w:r>
        <w:t xml:space="preserve">Frontiers in </w:t>
      </w:r>
      <w:proofErr w:type="spellStart"/>
      <w:r>
        <w:t>Behavioral</w:t>
      </w:r>
      <w:proofErr w:type="spellEnd"/>
      <w:r>
        <w:t xml:space="preserve"> Neuroscience. August 2013 | Volume 7, Article 107 doi: 10.3389/fnbeh.2013.00107</w:t>
      </w:r>
      <w:r>
        <w:rPr>
          <w:rFonts w:ascii="Calibri" w:eastAsia="Calibri" w:hAnsi="Calibri" w:cs="Calibri"/>
        </w:rPr>
        <w:t xml:space="preserve"> </w:t>
      </w:r>
    </w:p>
  </w:footnote>
  <w:footnote w:id="7">
    <w:p w14:paraId="1B705509" w14:textId="77777777" w:rsidR="00116679" w:rsidRDefault="0041041E">
      <w:pPr>
        <w:pStyle w:val="footnotedescription"/>
        <w:spacing w:line="237" w:lineRule="auto"/>
        <w:ind w:right="5"/>
      </w:pPr>
      <w:r>
        <w:rPr>
          <w:rStyle w:val="footnotemark"/>
        </w:rPr>
        <w:footnoteRef/>
      </w:r>
      <w:r>
        <w:t xml:space="preserve"> </w:t>
      </w:r>
      <w:r>
        <w:rPr>
          <w:i/>
        </w:rPr>
        <w:t xml:space="preserve">Michael </w:t>
      </w:r>
      <w:proofErr w:type="spellStart"/>
      <w:r>
        <w:rPr>
          <w:i/>
        </w:rPr>
        <w:t>A.Yassa</w:t>
      </w:r>
      <w:proofErr w:type="spellEnd"/>
      <w:r>
        <w:rPr>
          <w:i/>
        </w:rPr>
        <w:t xml:space="preserve"> and Zachariah M. </w:t>
      </w:r>
      <w:proofErr w:type="spellStart"/>
      <w:r>
        <w:rPr>
          <w:i/>
        </w:rPr>
        <w:t>Reagh</w:t>
      </w:r>
      <w:proofErr w:type="spellEnd"/>
      <w:r>
        <w:t xml:space="preserve">  </w:t>
      </w:r>
      <w:r>
        <w:rPr>
          <w:i/>
        </w:rPr>
        <w:t>Competitive trace theory: a role for the hippocampus in contextual interference during retrieval</w:t>
      </w:r>
      <w:r>
        <w:rPr>
          <w:color w:val="015BAA"/>
        </w:rPr>
        <w:t xml:space="preserve">. </w:t>
      </w:r>
      <w:r>
        <w:t xml:space="preserve">Frontiers in </w:t>
      </w:r>
      <w:proofErr w:type="spellStart"/>
      <w:r>
        <w:t>Behavioral</w:t>
      </w:r>
      <w:proofErr w:type="spellEnd"/>
      <w:r>
        <w:t xml:space="preserve"> Neuroscience. August 2013 | Volume 7, Article 107  doi: 10.3389/fnbeh.2013.00107</w:t>
      </w:r>
      <w:r>
        <w:rPr>
          <w:rFonts w:ascii="Calibri" w:eastAsia="Calibri" w:hAnsi="Calibri" w:cs="Calibri"/>
        </w:rPr>
        <w:t xml:space="preserve"> </w:t>
      </w:r>
    </w:p>
    <w:p w14:paraId="3F7B0A12" w14:textId="77777777" w:rsidR="00116679" w:rsidRDefault="0041041E">
      <w:pPr>
        <w:pStyle w:val="footnotedescription"/>
      </w:pPr>
      <w:r>
        <w:t xml:space="preserve"> </w:t>
      </w:r>
    </w:p>
  </w:footnote>
  <w:footnote w:id="8">
    <w:p w14:paraId="2D43A1A1" w14:textId="77777777" w:rsidR="005A01B3" w:rsidRDefault="005A01B3" w:rsidP="005A01B3">
      <w:pPr>
        <w:spacing w:after="0" w:line="259" w:lineRule="auto"/>
        <w:ind w:left="0" w:right="443" w:firstLine="0"/>
      </w:pPr>
      <w:r>
        <w:rPr>
          <w:sz w:val="20"/>
          <w:vertAlign w:val="superscript"/>
        </w:rPr>
        <w:t>7</w:t>
      </w:r>
      <w:r>
        <w:rPr>
          <w:sz w:val="20"/>
        </w:rPr>
        <w:t xml:space="preserve"> Rubin </w:t>
      </w:r>
      <w:proofErr w:type="spellStart"/>
      <w:r>
        <w:rPr>
          <w:sz w:val="20"/>
        </w:rPr>
        <w:t>Alaie</w:t>
      </w:r>
      <w:proofErr w:type="spellEnd"/>
      <w:r>
        <w:rPr>
          <w:sz w:val="20"/>
        </w:rPr>
        <w:t xml:space="preserve">. Representational systems: is someone visual, </w:t>
      </w:r>
      <w:proofErr w:type="gramStart"/>
      <w:r>
        <w:rPr>
          <w:sz w:val="20"/>
        </w:rPr>
        <w:t>auditory</w:t>
      </w:r>
      <w:proofErr w:type="gramEnd"/>
      <w:r>
        <w:rPr>
          <w:sz w:val="20"/>
        </w:rPr>
        <w:t xml:space="preserve"> or </w:t>
      </w:r>
      <w:proofErr w:type="spellStart"/>
      <w:r>
        <w:rPr>
          <w:sz w:val="20"/>
        </w:rPr>
        <w:t>kinesthetic</w:t>
      </w:r>
      <w:proofErr w:type="spellEnd"/>
      <w:r>
        <w:rPr>
          <w:sz w:val="20"/>
        </w:rPr>
        <w:t xml:space="preserve">?. Downloaded 22/11/2020 from </w:t>
      </w:r>
      <w:proofErr w:type="gramStart"/>
      <w:r>
        <w:rPr>
          <w:sz w:val="20"/>
        </w:rPr>
        <w:t>https://happyrubin.com/nlp/representational-systems/</w:t>
      </w:r>
      <w:proofErr w:type="gramEnd"/>
    </w:p>
    <w:p w14:paraId="6E3E192C" w14:textId="0526E854" w:rsidR="00116679" w:rsidRDefault="0041041E">
      <w:pPr>
        <w:pStyle w:val="footnotedescription"/>
        <w:spacing w:line="528" w:lineRule="auto"/>
      </w:pPr>
      <w:r>
        <w:rPr>
          <w:rStyle w:val="footnotemark"/>
        </w:rPr>
        <w:footnoteRef/>
      </w:r>
      <w:r>
        <w:t xml:space="preserve"> Rubin </w:t>
      </w:r>
      <w:proofErr w:type="spellStart"/>
      <w:r>
        <w:t>Alaie</w:t>
      </w:r>
      <w:proofErr w:type="spellEnd"/>
      <w:r>
        <w:rPr>
          <w:b/>
        </w:rPr>
        <w:t>.</w:t>
      </w:r>
      <w:r>
        <w:rPr>
          <w:rFonts w:ascii="Times New Roman" w:eastAsia="Times New Roman" w:hAnsi="Times New Roman" w:cs="Times New Roman"/>
          <w:b/>
          <w:sz w:val="48"/>
        </w:rPr>
        <w:t xml:space="preserve"> </w:t>
      </w:r>
      <w:r>
        <w:t xml:space="preserve">NLP Predicates – The best </w:t>
      </w:r>
      <w:r>
        <w:rPr>
          <w:rFonts w:ascii="Times New Roman" w:eastAsia="Times New Roman" w:hAnsi="Times New Roman" w:cs="Times New Roman"/>
          <w:b/>
          <w:sz w:val="48"/>
        </w:rPr>
        <w:t xml:space="preserve"> </w:t>
      </w:r>
      <w:r>
        <w:t>examples [Lists with words]</w:t>
      </w:r>
      <w:r>
        <w:rPr>
          <w:rFonts w:ascii="Times New Roman" w:eastAsia="Times New Roman" w:hAnsi="Times New Roman" w:cs="Times New Roman"/>
          <w:b/>
          <w:sz w:val="48"/>
        </w:rPr>
        <w:t xml:space="preserve"> </w:t>
      </w:r>
      <w:r>
        <w:t>Downloaded 22/11/2020 from</w:t>
      </w:r>
      <w:r w:rsidR="005A01B3">
        <w:t xml:space="preserve"> </w:t>
      </w:r>
      <w:r>
        <w:t xml:space="preserve"> </w:t>
      </w:r>
      <w:r w:rsidR="005A01B3">
        <w:br/>
        <w:t>h</w:t>
      </w:r>
      <w:r>
        <w:t>ttps://happyrubin.com/nlp/predicates</w:t>
      </w:r>
    </w:p>
  </w:footnote>
  <w:footnote w:id="9">
    <w:p w14:paraId="5F589582" w14:textId="77777777" w:rsidR="00116679" w:rsidRDefault="0041041E">
      <w:pPr>
        <w:pStyle w:val="footnotedescription"/>
        <w:spacing w:after="77" w:line="216" w:lineRule="auto"/>
        <w:ind w:right="254"/>
      </w:pPr>
      <w:r>
        <w:rPr>
          <w:rStyle w:val="footnotemark"/>
        </w:rPr>
        <w:footnoteRef/>
      </w:r>
      <w:r>
        <w:t xml:space="preserve"> Paul Rhodes 2016. Paul </w:t>
      </w:r>
      <w:proofErr w:type="spellStart"/>
      <w:r>
        <w:t>Ricoeur</w:t>
      </w:r>
      <w:proofErr w:type="spellEnd"/>
      <w:r>
        <w:t xml:space="preserve"> and Narrative Identity. Why we are our story . Psychology Today. </w:t>
      </w:r>
      <w:proofErr w:type="spellStart"/>
      <w:r>
        <w:t>ricoeur</w:t>
      </w:r>
      <w:proofErr w:type="spellEnd"/>
      <w:r>
        <w:t>-and-narrative-identity</w:t>
      </w:r>
      <w:r>
        <w:rPr>
          <w:b/>
          <w:sz w:val="48"/>
        </w:rPr>
        <w:t xml:space="preserve"> </w:t>
      </w:r>
      <w:r>
        <w:t xml:space="preserve">Downloaded 22/11/2020 from </w:t>
      </w:r>
      <w:proofErr w:type="gramStart"/>
      <w:r>
        <w:t>https://www.psychologytoday.com/au/blog/post-clinical/201604/paul-</w:t>
      </w:r>
      <w:proofErr w:type="gramEnd"/>
    </w:p>
  </w:footnote>
  <w:footnote w:id="10">
    <w:p w14:paraId="646C850D" w14:textId="77777777" w:rsidR="00116679" w:rsidRDefault="0041041E">
      <w:pPr>
        <w:pStyle w:val="footnotedescription"/>
      </w:pPr>
      <w:r>
        <w:rPr>
          <w:rStyle w:val="footnotemark"/>
        </w:rPr>
        <w:footnoteRef/>
      </w:r>
      <w:r>
        <w:t xml:space="preserve"> </w:t>
      </w:r>
      <w:r>
        <w:rPr>
          <w:color w:val="242021"/>
        </w:rPr>
        <w:t xml:space="preserve">Wim </w:t>
      </w:r>
      <w:proofErr w:type="spellStart"/>
      <w:r>
        <w:rPr>
          <w:color w:val="242021"/>
        </w:rPr>
        <w:t>Pouw</w:t>
      </w:r>
      <w:proofErr w:type="spellEnd"/>
      <w:r>
        <w:rPr>
          <w:color w:val="242021"/>
        </w:rPr>
        <w:t xml:space="preserve">, James A. Dixon.2019  Entrainment and Modulation of Gesture–Speech </w:t>
      </w:r>
    </w:p>
    <w:p w14:paraId="323921FC" w14:textId="77777777" w:rsidR="00116679" w:rsidRDefault="0041041E">
      <w:pPr>
        <w:pStyle w:val="footnotedescription"/>
        <w:spacing w:after="1" w:line="239" w:lineRule="auto"/>
        <w:ind w:right="1226"/>
      </w:pPr>
      <w:r>
        <w:rPr>
          <w:color w:val="242021"/>
        </w:rPr>
        <w:t xml:space="preserve">Synchrony Under Delayed Auditory Feedback. Cognitive Science 43 (2019) e12721 DOI: 10.1111/cogs.12721 </w:t>
      </w:r>
    </w:p>
    <w:p w14:paraId="54D9875A" w14:textId="77777777" w:rsidR="00116679" w:rsidRDefault="0041041E">
      <w:pPr>
        <w:pStyle w:val="footnotedescription"/>
      </w:pPr>
      <w:r>
        <w:t xml:space="preserve"> </w:t>
      </w:r>
    </w:p>
  </w:footnote>
  <w:footnote w:id="11">
    <w:p w14:paraId="382A7A7C" w14:textId="77777777" w:rsidR="00116679" w:rsidRDefault="0041041E">
      <w:pPr>
        <w:pStyle w:val="footnotedescription"/>
        <w:spacing w:line="248" w:lineRule="auto"/>
      </w:pPr>
      <w:r>
        <w:rPr>
          <w:rStyle w:val="footnotemark"/>
        </w:rPr>
        <w:footnoteRef/>
      </w:r>
      <w:r>
        <w:t xml:space="preserve"> Joseph O’Connor. NLP workbook 2001. The practical guidebook to achieving the results you want. </w:t>
      </w:r>
      <w:proofErr w:type="spellStart"/>
      <w:r>
        <w:t>Thorsons</w:t>
      </w:r>
      <w:proofErr w:type="spellEnd"/>
      <w:r>
        <w:t xml:space="preserve"> Publishers UK. Downloaded22/11/2020 from </w:t>
      </w:r>
    </w:p>
    <w:p w14:paraId="50A9CB60" w14:textId="77777777" w:rsidR="00116679" w:rsidRDefault="0041041E">
      <w:pPr>
        <w:pStyle w:val="footnotedescription"/>
        <w:spacing w:line="226" w:lineRule="auto"/>
      </w:pPr>
      <w:r>
        <w:t>https://doc.lagout.org/science/0_Computer%20Science/3_Theory/Neural%20Networks/Neuro%20Lin guistic%20Programming%20WorkBook.pdf</w:t>
      </w:r>
      <w:r>
        <w:rPr>
          <w:rFonts w:ascii="Calibri" w:eastAsia="Calibri" w:hAnsi="Calibri" w:cs="Calibri"/>
        </w:rPr>
        <w:t xml:space="preserve"> </w:t>
      </w:r>
    </w:p>
  </w:footnote>
  <w:footnote w:id="12">
    <w:p w14:paraId="1CEC0409" w14:textId="77777777" w:rsidR="00116679" w:rsidRDefault="0041041E">
      <w:pPr>
        <w:pStyle w:val="footnotedescription"/>
      </w:pPr>
      <w:r>
        <w:rPr>
          <w:rStyle w:val="footnotemark"/>
        </w:rPr>
        <w:footnoteRef/>
      </w:r>
      <w:r>
        <w:t xml:space="preserve"> Russell W. Chan, Alex T. L. Leong, Leon C. Ho, Patrick P. Gao,  Eddie C. Wong,  Celia M. Dong,  </w:t>
      </w:r>
    </w:p>
    <w:p w14:paraId="25637ECD" w14:textId="77777777" w:rsidR="00116679" w:rsidRDefault="0041041E">
      <w:pPr>
        <w:pStyle w:val="footnotedescription"/>
      </w:pPr>
      <w:proofErr w:type="spellStart"/>
      <w:r>
        <w:t>Xunda</w:t>
      </w:r>
      <w:proofErr w:type="spellEnd"/>
      <w:r>
        <w:t xml:space="preserve"> Wang, </w:t>
      </w:r>
      <w:proofErr w:type="spellStart"/>
      <w:r>
        <w:t>Jufang</w:t>
      </w:r>
      <w:proofErr w:type="spellEnd"/>
      <w:r>
        <w:t xml:space="preserve"> He, Ying-Shing Chan,  Lee Wei Lim, and  Ed X. Wu. Low-frequency hippocampal–cortical activity drives brain-wide resting-state functional MRI connectivity. PNAS </w:t>
      </w:r>
    </w:p>
    <w:p w14:paraId="7504346B" w14:textId="77777777" w:rsidR="00116679" w:rsidRDefault="0041041E">
      <w:pPr>
        <w:pStyle w:val="footnotedescription"/>
        <w:spacing w:line="241" w:lineRule="auto"/>
      </w:pPr>
      <w:r>
        <w:t xml:space="preserve">August 15, 2017 114 (33) E6972-E6981; first published July 31, 2017; </w:t>
      </w:r>
      <w:hyperlink r:id="rId1">
        <w:r>
          <w:rPr>
            <w:color w:val="0000FF"/>
            <w:u w:val="single" w:color="0000FF"/>
          </w:rPr>
          <w:t>https://doi.org/10.1073/pnas.170330</w:t>
        </w:r>
      </w:hyperlink>
      <w:hyperlink r:id="rId2">
        <w:r>
          <w:rPr>
            <w:color w:val="0000FF"/>
            <w:u w:val="single" w:color="0000FF"/>
          </w:rPr>
          <w:t>9114</w:t>
        </w:r>
      </w:hyperlink>
      <w:hyperlink r:id="rId3">
        <w:r>
          <w:rPr>
            <w:rFonts w:ascii="Times New Roman" w:eastAsia="Times New Roman" w:hAnsi="Times New Roman" w:cs="Times New Roman"/>
            <w:sz w:val="24"/>
          </w:rPr>
          <w:t xml:space="preserve"> </w:t>
        </w:r>
      </w:hyperlink>
      <w:r>
        <w:t xml:space="preserve"> </w:t>
      </w:r>
    </w:p>
  </w:footnote>
  <w:footnote w:id="13">
    <w:p w14:paraId="3D5BE4AF" w14:textId="77777777" w:rsidR="00116679" w:rsidRDefault="0041041E">
      <w:pPr>
        <w:pStyle w:val="footnotedescription"/>
        <w:spacing w:line="264" w:lineRule="auto"/>
        <w:ind w:right="127"/>
        <w:jc w:val="both"/>
      </w:pPr>
      <w:r>
        <w:rPr>
          <w:rStyle w:val="footnotemark"/>
        </w:rPr>
        <w:footnoteRef/>
      </w:r>
      <w:r>
        <w:t xml:space="preserve"> Michael Yassa, Zachariah </w:t>
      </w:r>
      <w:proofErr w:type="spellStart"/>
      <w:r>
        <w:t>Reagh</w:t>
      </w:r>
      <w:proofErr w:type="spellEnd"/>
      <w:r>
        <w:t xml:space="preserve"> . 2013. Competitive Trace Theory: A Role for the Hippocampus in Contextual Interference during Retrieval .Frontiers in </w:t>
      </w:r>
      <w:proofErr w:type="spellStart"/>
      <w:r>
        <w:t>Behavioral</w:t>
      </w:r>
      <w:proofErr w:type="spellEnd"/>
      <w:r>
        <w:t xml:space="preserve"> Neuroscience   Vol7 . Downloaded 21/11/2020 from:  https://www.frontiersin.org/article/10.3389/fnbeh.2013.00107.     </w:t>
      </w:r>
    </w:p>
    <w:p w14:paraId="0960D223" w14:textId="77777777" w:rsidR="00116679" w:rsidRDefault="0041041E">
      <w:pPr>
        <w:pStyle w:val="footnotedescription"/>
      </w:pPr>
      <w:r>
        <w:t>DOI=10.3389/fnbeh.2013.00107</w:t>
      </w:r>
      <w:r>
        <w:rPr>
          <w:rFonts w:ascii="Calibri" w:eastAsia="Calibri" w:hAnsi="Calibri" w:cs="Calibri"/>
        </w:rPr>
        <w:t xml:space="preserve"> </w:t>
      </w:r>
    </w:p>
  </w:footnote>
  <w:footnote w:id="14">
    <w:p w14:paraId="626A43E8" w14:textId="77777777" w:rsidR="00116679" w:rsidRDefault="0041041E">
      <w:pPr>
        <w:pStyle w:val="footnotedescription"/>
      </w:pPr>
      <w:r>
        <w:rPr>
          <w:rStyle w:val="footnotemark"/>
        </w:rPr>
        <w:footnoteRef/>
      </w:r>
      <w:r>
        <w:t xml:space="preserve"> Yassa &amp; </w:t>
      </w:r>
      <w:proofErr w:type="spellStart"/>
      <w:r>
        <w:t>Reagh</w:t>
      </w:r>
      <w:proofErr w:type="spellEnd"/>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7DCB" w14:textId="77777777" w:rsidR="00116679" w:rsidRDefault="0041041E">
    <w:pPr>
      <w:spacing w:after="0" w:line="259" w:lineRule="auto"/>
      <w:ind w:left="0" w:firstLine="0"/>
    </w:pPr>
    <w:r>
      <w:rPr>
        <w:noProof/>
      </w:rPr>
      <w:drawing>
        <wp:anchor distT="0" distB="0" distL="114300" distR="114300" simplePos="0" relativeHeight="251658240" behindDoc="0" locked="0" layoutInCell="1" allowOverlap="0" wp14:anchorId="4A45D279" wp14:editId="73A84EB6">
          <wp:simplePos x="0" y="0"/>
          <wp:positionH relativeFrom="page">
            <wp:posOffset>914400</wp:posOffset>
          </wp:positionH>
          <wp:positionV relativeFrom="page">
            <wp:posOffset>449580</wp:posOffset>
          </wp:positionV>
          <wp:extent cx="1576197" cy="7854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76197" cy="785495"/>
                  </a:xfrm>
                  <a:prstGeom prst="rect">
                    <a:avLst/>
                  </a:prstGeom>
                </pic:spPr>
              </pic:pic>
            </a:graphicData>
          </a:graphic>
        </wp:anchor>
      </w:drawing>
    </w:r>
    <w:r>
      <w:rPr>
        <w:rFonts w:ascii="Calibri" w:eastAsia="Calibri" w:hAnsi="Calibri" w:cs="Calibri"/>
        <w:sz w:val="22"/>
      </w:rPr>
      <w:t xml:space="preserve"> </w:t>
    </w:r>
  </w:p>
  <w:p w14:paraId="02EEBCFA" w14:textId="77777777" w:rsidR="00116679" w:rsidRDefault="0041041E">
    <w:pPr>
      <w:spacing w:after="0" w:line="259" w:lineRule="auto"/>
      <w:ind w:left="0" w:firstLine="0"/>
    </w:pPr>
    <w:r>
      <w:rPr>
        <w:rFonts w:ascii="Calibri" w:eastAsia="Calibri" w:hAnsi="Calibri" w:cs="Calibri"/>
        <w:sz w:val="22"/>
      </w:rPr>
      <w:t xml:space="preserve"> </w:t>
    </w:r>
  </w:p>
  <w:p w14:paraId="1BD46956" w14:textId="77777777" w:rsidR="00116679" w:rsidRDefault="0041041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AE08565" wp14:editId="326A2F1C">
              <wp:simplePos x="0" y="0"/>
              <wp:positionH relativeFrom="page">
                <wp:posOffset>0</wp:posOffset>
              </wp:positionH>
              <wp:positionV relativeFrom="page">
                <wp:posOffset>0</wp:posOffset>
              </wp:positionV>
              <wp:extent cx="1" cy="1"/>
              <wp:effectExtent l="0" t="0" r="0" b="0"/>
              <wp:wrapNone/>
              <wp:docPr id="11996" name="Group 119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9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277" w14:textId="70E2C0A7" w:rsidR="00116679" w:rsidRDefault="0041041E">
    <w:pPr>
      <w:spacing w:after="0" w:line="259" w:lineRule="auto"/>
      <w:ind w:left="0" w:firstLine="0"/>
    </w:pPr>
    <w:r>
      <w:rPr>
        <w:rFonts w:ascii="Calibri" w:eastAsia="Calibri" w:hAnsi="Calibri" w:cs="Calibri"/>
        <w:sz w:val="22"/>
      </w:rPr>
      <w:t xml:space="preserve"> </w:t>
    </w:r>
  </w:p>
  <w:p w14:paraId="3743304E" w14:textId="77777777" w:rsidR="00116679" w:rsidRDefault="0041041E">
    <w:pPr>
      <w:spacing w:after="0" w:line="259" w:lineRule="auto"/>
      <w:ind w:left="0" w:firstLine="0"/>
    </w:pPr>
    <w:r>
      <w:rPr>
        <w:rFonts w:ascii="Calibri" w:eastAsia="Calibri" w:hAnsi="Calibri" w:cs="Calibri"/>
        <w:sz w:val="22"/>
      </w:rPr>
      <w:t xml:space="preserve"> </w:t>
    </w:r>
  </w:p>
  <w:p w14:paraId="27A0E858" w14:textId="77777777" w:rsidR="00116679" w:rsidRDefault="0041041E">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AE3CCEE" wp14:editId="4039C2EB">
              <wp:simplePos x="0" y="0"/>
              <wp:positionH relativeFrom="page">
                <wp:posOffset>0</wp:posOffset>
              </wp:positionH>
              <wp:positionV relativeFrom="page">
                <wp:posOffset>0</wp:posOffset>
              </wp:positionV>
              <wp:extent cx="1" cy="1"/>
              <wp:effectExtent l="0" t="0" r="0" b="0"/>
              <wp:wrapNone/>
              <wp:docPr id="11984" name="Group 1198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8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C13A" w14:textId="77777777" w:rsidR="00116679" w:rsidRDefault="0041041E">
    <w:pPr>
      <w:spacing w:after="0" w:line="259" w:lineRule="auto"/>
      <w:ind w:left="0" w:firstLine="0"/>
    </w:pPr>
    <w:r>
      <w:rPr>
        <w:noProof/>
      </w:rPr>
      <w:drawing>
        <wp:anchor distT="0" distB="0" distL="114300" distR="114300" simplePos="0" relativeHeight="251662336" behindDoc="0" locked="0" layoutInCell="1" allowOverlap="0" wp14:anchorId="02F796E7" wp14:editId="6F64D41D">
          <wp:simplePos x="0" y="0"/>
          <wp:positionH relativeFrom="page">
            <wp:posOffset>914400</wp:posOffset>
          </wp:positionH>
          <wp:positionV relativeFrom="page">
            <wp:posOffset>449580</wp:posOffset>
          </wp:positionV>
          <wp:extent cx="1576197" cy="7854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76197" cy="785495"/>
                  </a:xfrm>
                  <a:prstGeom prst="rect">
                    <a:avLst/>
                  </a:prstGeom>
                </pic:spPr>
              </pic:pic>
            </a:graphicData>
          </a:graphic>
        </wp:anchor>
      </w:drawing>
    </w:r>
    <w:r>
      <w:rPr>
        <w:rFonts w:ascii="Calibri" w:eastAsia="Calibri" w:hAnsi="Calibri" w:cs="Calibri"/>
        <w:sz w:val="22"/>
      </w:rPr>
      <w:t xml:space="preserve"> </w:t>
    </w:r>
  </w:p>
  <w:p w14:paraId="1DE9B639" w14:textId="77777777" w:rsidR="00116679" w:rsidRDefault="0041041E">
    <w:pPr>
      <w:spacing w:after="0" w:line="259" w:lineRule="auto"/>
      <w:ind w:left="0" w:firstLine="0"/>
    </w:pPr>
    <w:r>
      <w:rPr>
        <w:rFonts w:ascii="Calibri" w:eastAsia="Calibri" w:hAnsi="Calibri" w:cs="Calibri"/>
        <w:sz w:val="22"/>
      </w:rPr>
      <w:t xml:space="preserve"> </w:t>
    </w:r>
  </w:p>
  <w:p w14:paraId="2A006E9E" w14:textId="77777777" w:rsidR="00116679" w:rsidRDefault="0041041E">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A2A3F39" wp14:editId="11C81A4B">
              <wp:simplePos x="0" y="0"/>
              <wp:positionH relativeFrom="page">
                <wp:posOffset>0</wp:posOffset>
              </wp:positionH>
              <wp:positionV relativeFrom="page">
                <wp:posOffset>0</wp:posOffset>
              </wp:positionV>
              <wp:extent cx="1" cy="1"/>
              <wp:effectExtent l="0" t="0" r="0" b="0"/>
              <wp:wrapNone/>
              <wp:docPr id="11972" name="Group 119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7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4F8"/>
    <w:multiLevelType w:val="hybridMultilevel"/>
    <w:tmpl w:val="A808D674"/>
    <w:lvl w:ilvl="0" w:tplc="CBC61788">
      <w:start w:val="1"/>
      <w:numFmt w:val="bullet"/>
      <w:lvlText w:val="-"/>
      <w:lvlJc w:val="left"/>
      <w:pPr>
        <w:ind w:left="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B672F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4DE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5C39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4FC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B89C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1EEC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6E75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C9DF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177293"/>
    <w:multiLevelType w:val="hybridMultilevel"/>
    <w:tmpl w:val="75465DE8"/>
    <w:lvl w:ilvl="0" w:tplc="0F50BBEA">
      <w:start w:val="1"/>
      <w:numFmt w:val="low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A8E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CA66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B62C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E4D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AE7DA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A6A4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0C5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F02E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2459F5"/>
    <w:multiLevelType w:val="hybridMultilevel"/>
    <w:tmpl w:val="850CB832"/>
    <w:lvl w:ilvl="0" w:tplc="DAB83D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EFA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9825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48C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1EA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2FB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C2B7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E5B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C46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03163"/>
    <w:multiLevelType w:val="hybridMultilevel"/>
    <w:tmpl w:val="B4DE34C8"/>
    <w:lvl w:ilvl="0" w:tplc="3DD6C5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0AEA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8803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220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EC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831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2498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746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415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042F38"/>
    <w:multiLevelType w:val="hybridMultilevel"/>
    <w:tmpl w:val="43CA0D32"/>
    <w:lvl w:ilvl="0" w:tplc="83B8901C">
      <w:start w:val="1"/>
      <w:numFmt w:val="bullet"/>
      <w:lvlText w:val="-"/>
      <w:lvlJc w:val="left"/>
      <w:pPr>
        <w:ind w:left="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CA92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BC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62E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AA7FA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6B6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12EE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987F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C16D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050DC7"/>
    <w:multiLevelType w:val="hybridMultilevel"/>
    <w:tmpl w:val="6DB41468"/>
    <w:lvl w:ilvl="0" w:tplc="343C685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EC6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ACCF1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9AC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6E3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5490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546B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2937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AB2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79"/>
    <w:rsid w:val="00116679"/>
    <w:rsid w:val="003F26DD"/>
    <w:rsid w:val="0041041E"/>
    <w:rsid w:val="005A01B3"/>
    <w:rsid w:val="007153D3"/>
    <w:rsid w:val="00DA4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F570"/>
  <w15:docId w15:val="{8A8D6D71-12A4-4509-AB0E-7E92834F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1B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olution.institute/documents/item/439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esolution.institute/documents/item/4395"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resolution.institute/documents/item/4395"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73/pnas.1703309114" TargetMode="External"/><Relationship Id="rId2" Type="http://schemas.openxmlformats.org/officeDocument/2006/relationships/hyperlink" Target="https://doi.org/10.1073/pnas.1703309114" TargetMode="External"/><Relationship Id="rId1" Type="http://schemas.openxmlformats.org/officeDocument/2006/relationships/hyperlink" Target="https://doi.org/10.1073/pnas.17033091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cp:lastModifiedBy>David Mitchell</cp:lastModifiedBy>
  <cp:revision>3</cp:revision>
  <dcterms:created xsi:type="dcterms:W3CDTF">2021-05-01T01:24:00Z</dcterms:created>
  <dcterms:modified xsi:type="dcterms:W3CDTF">2021-05-01T01:25:00Z</dcterms:modified>
</cp:coreProperties>
</file>